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Project Memory</w:t>
        <w:br/>
      </w:r>
      <w:r>
        <w:rPr>
          <w:b/>
          <w:sz w:val="26"/>
        </w:rPr>
        <w:t>v0.55.7c - Tier Scenario Clean Report Lock</w:t>
      </w:r>
    </w:p>
    <w:p>
      <w:r>
        <w:t>Document Type: Candidate Project Memory / Reporting Cleanup Lock Candidate</w:t>
      </w:r>
    </w:p>
    <w:p>
      <w:r>
        <w:t>Purpose: Remove stale Tier Scenario validation report notes after successful v0.55.7b scenario validation, while preserving clean runtime behavior.</w:t>
      </w:r>
    </w:p>
    <w:p>
      <w:r>
        <w:rPr>
          <w:b/>
          <w:sz w:val="24"/>
        </w:rPr>
        <w:t>1) Version Decision</w:t>
      </w:r>
    </w:p>
    <w:p>
      <w:pPr>
        <w:ind w:left="288"/>
      </w:pPr>
      <w:r>
        <w:rPr>
          <w:b/>
        </w:rPr>
        <w:t xml:space="preserve">• </w:t>
      </w:r>
      <w:r>
        <w:t>v0.55.7 Scenario Validation passed: capital injection did not cause automatic promotion, withdrawal was not counted as strategy loss, earned promotion readiness remained readiness-only, and demotion readiness remained readiness-only.</w:t>
      </w:r>
    </w:p>
    <w:p>
      <w:pPr>
        <w:ind w:left="288"/>
      </w:pPr>
      <w:r>
        <w:rPr>
          <w:b/>
        </w:rPr>
        <w:t xml:space="preserve">• </w:t>
      </w:r>
      <w:r>
        <w:t>v0.55.7b cleaned temporary scenario inputs and fields, but the Summary still included a stale ReportNotes message referencing candidate scenario validation.</w:t>
      </w:r>
    </w:p>
    <w:p>
      <w:pPr>
        <w:ind w:left="288"/>
      </w:pPr>
      <w:r>
        <w:rPr>
          <w:b/>
        </w:rPr>
        <w:t xml:space="preserve">• </w:t>
      </w:r>
      <w:r>
        <w:t>v0.55.7c removes that stale ReportNotes column/message to keep the locked report surface clean.</w:t>
      </w:r>
    </w:p>
    <w:p>
      <w:r>
        <w:rPr>
          <w:b/>
          <w:sz w:val="24"/>
        </w:rPr>
        <w:t>2) Trading Logic Status</w:t>
      </w:r>
    </w:p>
    <w:p>
      <w:pPr>
        <w:ind w:left="288"/>
      </w:pPr>
      <w:r>
        <w:rPr>
          <w:b/>
        </w:rPr>
        <w:t xml:space="preserve">• </w:t>
      </w:r>
      <w:r>
        <w:t>No Entry change</w:t>
      </w:r>
    </w:p>
    <w:p>
      <w:pPr>
        <w:ind w:left="288"/>
      </w:pPr>
      <w:r>
        <w:rPr>
          <w:b/>
        </w:rPr>
        <w:t xml:space="preserve">• </w:t>
      </w:r>
      <w:r>
        <w:t>No Exit change</w:t>
      </w:r>
    </w:p>
    <w:p>
      <w:pPr>
        <w:ind w:left="288"/>
      </w:pPr>
      <w:r>
        <w:rPr>
          <w:b/>
        </w:rPr>
        <w:t xml:space="preserve">• </w:t>
      </w:r>
      <w:r>
        <w:t>No SL/TP change</w:t>
      </w:r>
    </w:p>
    <w:p>
      <w:pPr>
        <w:ind w:left="288"/>
      </w:pPr>
      <w:r>
        <w:rPr>
          <w:b/>
        </w:rPr>
        <w:t xml:space="preserve">• </w:t>
      </w:r>
      <w:r>
        <w:t>No Protection change</w:t>
      </w:r>
    </w:p>
    <w:p>
      <w:pPr>
        <w:ind w:left="288"/>
      </w:pPr>
      <w:r>
        <w:rPr>
          <w:b/>
        </w:rPr>
        <w:t xml:space="preserve">• </w:t>
      </w:r>
      <w:r>
        <w:t>No Runner change</w:t>
      </w:r>
    </w:p>
    <w:p>
      <w:pPr>
        <w:ind w:left="288"/>
      </w:pPr>
      <w:r>
        <w:rPr>
          <w:b/>
        </w:rPr>
        <w:t xml:space="preserve">• </w:t>
      </w:r>
      <w:r>
        <w:t>No Emergency change</w:t>
      </w:r>
    </w:p>
    <w:p>
      <w:pPr>
        <w:ind w:left="288"/>
      </w:pPr>
      <w:r>
        <w:rPr>
          <w:b/>
        </w:rPr>
        <w:t xml:space="preserve">• </w:t>
      </w:r>
      <w:r>
        <w:t>No Dynamic LotSizing change</w:t>
      </w:r>
    </w:p>
    <w:p>
      <w:pPr>
        <w:ind w:left="288"/>
      </w:pPr>
      <w:r>
        <w:rPr>
          <w:b/>
        </w:rPr>
        <w:t xml:space="preserve">• </w:t>
      </w:r>
      <w:r>
        <w:t>No OrderSend or broker execution</w:t>
      </w:r>
    </w:p>
    <w:p>
      <w:r>
        <w:rPr>
          <w:b/>
          <w:sz w:val="24"/>
        </w:rPr>
        <w:t>3) Reporting Surface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Report</w:t>
            </w:r>
          </w:p>
        </w:tc>
        <w:tc>
          <w:tcPr>
            <w:tcW w:type="dxa" w:w="3408"/>
            <w:vAlign w:val="center"/>
          </w:tcPr>
          <w:p>
            <w:r>
              <w:t>Columns</w:t>
            </w:r>
          </w:p>
        </w:tc>
        <w:tc>
          <w:tcPr>
            <w:tcW w:type="dxa" w:w="3408"/>
            <w:vAlign w:val="center"/>
          </w:tcPr>
          <w:p>
            <w: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TradeLifecycle</w:t>
            </w:r>
          </w:p>
        </w:tc>
        <w:tc>
          <w:tcPr>
            <w:tcW w:type="dxa" w:w="3408"/>
            <w:vAlign w:val="center"/>
          </w:tcPr>
          <w:p>
            <w:r>
              <w:t>30</w:t>
            </w:r>
          </w:p>
        </w:tc>
        <w:tc>
          <w:tcPr>
            <w:tcW w:type="dxa" w:w="3408"/>
            <w:vAlign w:val="center"/>
          </w:tcPr>
          <w:p>
            <w:r>
              <w:t>Minimal per-trade decision facts retained.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Summary</w:t>
            </w:r>
          </w:p>
        </w:tc>
        <w:tc>
          <w:tcPr>
            <w:tcW w:type="dxa" w:w="3408"/>
            <w:vAlign w:val="center"/>
          </w:tcPr>
          <w:p>
            <w:r>
              <w:t>50</w:t>
            </w:r>
          </w:p>
        </w:tc>
        <w:tc>
          <w:tcPr>
            <w:tcW w:type="dxa" w:w="3408"/>
            <w:vAlign w:val="center"/>
          </w:tcPr>
          <w:p>
            <w:r>
              <w:t>ReportNotes removed; integrity and capital flow fields retained.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AutoPeriodManifest</w:t>
            </w:r>
          </w:p>
        </w:tc>
        <w:tc>
          <w:tcPr>
            <w:tcW w:type="dxa" w:w="3408"/>
            <w:vAlign w:val="center"/>
          </w:tcPr>
          <w:p>
            <w:r>
              <w:t>12</w:t>
            </w:r>
          </w:p>
        </w:tc>
        <w:tc>
          <w:tcPr>
            <w:tcW w:type="dxa" w:w="3408"/>
            <w:vAlign w:val="center"/>
          </w:tcPr>
          <w:p>
            <w:r>
              <w:t>Metadata-only period manifest retained.</w:t>
            </w:r>
          </w:p>
        </w:tc>
      </w:tr>
    </w:tbl>
    <w:p>
      <w:r>
        <w:rPr>
          <w:b/>
          <w:sz w:val="24"/>
        </w:rPr>
        <w:t>4) Required Regression Windows</w:t>
      </w:r>
    </w:p>
    <w:p>
      <w:pPr>
        <w:ind w:left="288"/>
      </w:pPr>
      <w:r>
        <w:rPr>
          <w:b/>
        </w:rPr>
        <w:t xml:space="preserve">• </w:t>
      </w:r>
      <w:r>
        <w:t>Primary Dynamic Regression: April Full 2026-04-01 to 2026-04-30, expected FinalWorkingNetUSD approximately 4524.85.</w:t>
      </w:r>
    </w:p>
    <w:p>
      <w:pPr>
        <w:ind w:left="288"/>
      </w:pPr>
      <w:r>
        <w:rPr>
          <w:b/>
        </w:rPr>
        <w:t xml:space="preserve">• </w:t>
      </w:r>
      <w:r>
        <w:t>Confirmation Dynamic Regression: May Fresh 2026-05-01 to 2026-05-14, expected FinalWorkingNetUSD approximately 1103.55.</w:t>
      </w:r>
    </w:p>
    <w:p>
      <w:pPr>
        <w:ind w:left="288"/>
      </w:pPr>
      <w:r>
        <w:rPr>
          <w:b/>
        </w:rPr>
        <w:t xml:space="preserve">• </w:t>
      </w:r>
      <w:r>
        <w:t>Optional Fixed Regression: April Full expected 1102.45; May Fresh expected 759.45.</w:t>
      </w:r>
    </w:p>
    <w:p>
      <w:r>
        <w:rPr>
          <w:b/>
          <w:sz w:val="24"/>
        </w:rPr>
        <w:t>5) Lock Criteria</w:t>
      </w:r>
    </w:p>
    <w:p>
      <w:pPr>
        <w:ind w:left="288"/>
      </w:pPr>
      <w:r>
        <w:rPr>
          <w:b/>
        </w:rPr>
        <w:t xml:space="preserve">• </w:t>
      </w:r>
      <w:r>
        <w:t>ReportIntegrityStatus = PASS</w:t>
      </w:r>
    </w:p>
    <w:p>
      <w:pPr>
        <w:ind w:left="288"/>
      </w:pPr>
      <w:r>
        <w:rPr>
          <w:b/>
        </w:rPr>
        <w:t xml:space="preserve">• </w:t>
      </w:r>
      <w:r>
        <w:t>TradeRowsVsSummaryStatus = PASS</w:t>
      </w:r>
    </w:p>
    <w:p>
      <w:pPr>
        <w:ind w:left="288"/>
      </w:pPr>
      <w:r>
        <w:rPr>
          <w:b/>
        </w:rPr>
        <w:t xml:space="preserve">• </w:t>
      </w:r>
      <w:r>
        <w:t>CapitalFlowIntegrityStatus = PASS</w:t>
      </w:r>
    </w:p>
    <w:p>
      <w:pPr>
        <w:ind w:left="288"/>
      </w:pPr>
      <w:r>
        <w:rPr>
          <w:b/>
        </w:rPr>
        <w:t xml:space="preserve">• </w:t>
      </w:r>
      <w:r>
        <w:t>CapitalInjectionEvents = 0</w:t>
      </w:r>
    </w:p>
    <w:p>
      <w:pPr>
        <w:ind w:left="288"/>
      </w:pPr>
      <w:r>
        <w:rPr>
          <w:b/>
        </w:rPr>
        <w:t xml:space="preserve">• </w:t>
      </w:r>
      <w:r>
        <w:t>CapitalWithdrawalEvents = 0</w:t>
      </w:r>
    </w:p>
    <w:p>
      <w:pPr>
        <w:ind w:left="288"/>
      </w:pPr>
      <w:r>
        <w:rPr>
          <w:b/>
        </w:rPr>
        <w:t xml:space="preserve">• </w:t>
      </w:r>
      <w:r>
        <w:t>ExternalCapitalNetUSD = 0.0000 or rounding only</w:t>
      </w:r>
    </w:p>
    <w:p>
      <w:pPr>
        <w:ind w:left="288"/>
      </w:pPr>
      <w:r>
        <w:rPr>
          <w:b/>
        </w:rPr>
        <w:t xml:space="preserve">• </w:t>
      </w:r>
      <w:r>
        <w:t>OrderSend = 0</w:t>
      </w:r>
    </w:p>
    <w:p>
      <w:pPr>
        <w:ind w:left="288"/>
      </w:pPr>
      <w:r>
        <w:rPr>
          <w:b/>
        </w:rPr>
        <w:t xml:space="preserve">• </w:t>
      </w:r>
      <w:r>
        <w:t>BrokerModifySent = 0</w:t>
      </w:r>
    </w:p>
    <w:p>
      <w:pPr>
        <w:ind w:left="288"/>
      </w:pPr>
      <w:r>
        <w:rPr>
          <w:b/>
        </w:rPr>
        <w:t xml:space="preserve">• </w:t>
      </w:r>
      <w:r>
        <w:t>RuntimeSLChanged = 0</w:t>
      </w:r>
    </w:p>
    <w:p>
      <w:pPr>
        <w:ind w:left="288"/>
      </w:pPr>
      <w:r>
        <w:rPr>
          <w:b/>
        </w:rPr>
        <w:t xml:space="preserve">• </w:t>
      </w:r>
      <w:r>
        <w:t>InvariantBreaches = 0</w:t>
      </w:r>
    </w:p>
    <w:p>
      <w:r>
        <w:rPr>
          <w:b/>
          <w:sz w:val="24"/>
        </w:rPr>
        <w:t>6) Next Step After Lock</w:t>
      </w:r>
    </w:p>
    <w:p>
      <w:pPr>
        <w:ind w:left="288"/>
      </w:pPr>
      <w:r>
        <w:rPr>
          <w:b/>
        </w:rPr>
        <w:t xml:space="preserve">• </w:t>
      </w:r>
      <w:r>
        <w:t>After v0.55.7c passes regression and is locked, continue the capital/risk path without adding temporary report clutter.</w:t>
      </w:r>
    </w:p>
    <w:p>
      <w:pPr>
        <w:ind w:left="288"/>
      </w:pPr>
      <w:r>
        <w:rPr>
          <w:b/>
        </w:rPr>
        <w:t xml:space="preserve">• </w:t>
      </w:r>
      <w:r>
        <w:t>Candidate next layer should be chosen from the remaining capital-aware roadmap, while respecting the clean-report rule after every LOCK.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