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JA FalconCore Automated Trading Platform</w:t>
      </w:r>
    </w:p>
    <w:p>
      <w:pPr>
        <w:jc w:val="center"/>
      </w:pPr>
      <w:r>
        <w:rPr>
          <w:rFonts w:ascii="Arial" w:hAnsi="Arial" w:eastAsia="Arial"/>
          <w:b/>
          <w:sz w:val="24"/>
        </w:rPr>
        <w:t>Project Memory — v0.22.2</w:t>
      </w:r>
    </w:p>
    <w:p>
      <w:pPr>
        <w:pStyle w:val="Heading1"/>
      </w:pPr>
      <w: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Field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Value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Current Version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v0.22.2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Tag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FvgQualitySize250PrimaryValidationLock_NoExecution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Baseline Source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v0.22.1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Compile Target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 errors, 0 warnings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Execution Status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 OrderSend / No real execution / Shadow simulation only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Current Accepted Logic Baseline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v0.21.3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Purpose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Lock the validated P03_SIZE250_ONLY shadow simulation and clean multi-profile diagnostics from reports.</w:t>
            </w:r>
          </w:p>
        </w:tc>
      </w:tr>
    </w:tbl>
    <w:p>
      <w:pPr>
        <w:pStyle w:val="Heading1"/>
      </w:pPr>
      <w:r>
        <w:t>2. What was found in v0.22.1 official reports</w:t>
      </w:r>
    </w:p>
    <w:p>
      <w:r>
        <w:t>• v0.22.1 successfully simulated eight FVG quality profiles without changing the actual Shadow trades.</w:t>
      </w:r>
    </w:p>
    <w:p>
      <w:r>
        <w:t>• April actual result: 619 trades, WinRate 56.38%, NetIndexPoints +2052.52.</w:t>
      </w:r>
    </w:p>
    <w:p>
      <w:r>
        <w:t>• March actual result: 786 trades, WinRate 55.60%, NetIndexPoints +3535.07.</w:t>
      </w:r>
    </w:p>
    <w:p>
      <w:r>
        <w:t>• P03_SIZE250_ONLY was the stable profile across both primary windows.</w:t>
      </w:r>
    </w:p>
    <w:p>
      <w:r>
        <w:t>• Age-based profiles improved April in some cases but damaged March, so AGE-based filtering remains rejected for runtime/candidate use.</w:t>
      </w:r>
    </w:p>
    <w:p>
      <w:r>
        <w:t>• Hold80 profile was negative in both April and March and is rejected as a candidate.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Profile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April Delta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March Delta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Decision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P01_SIZE100_ONLY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+35.55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+33.96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Positive, weaker than P03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P02_SIZE150_ONLY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+73.58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+51.00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Positive, but P03 stronger/stabler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P03_SIZE250_ONLY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+77.48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+77.64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Primary validated profile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P04_SIZE250_AGE10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+99.14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-218.18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Rejected: March damage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P05_SIZE250_AGE20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+77.48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-175.11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Rejected: March damage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P06_SIZE250_AGE50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+77.48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-168.11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Rejected: March damage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P07_SIZE250_HOLD80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-544.53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-671.95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Rejected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P08_AGE6_ONLY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+14.44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-366.33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Rejected</w:t>
            </w:r>
          </w:p>
        </w:tc>
      </w:tr>
    </w:tbl>
    <w:p>
      <w:pPr>
        <w:pStyle w:val="Heading1"/>
      </w:pPr>
      <w:r>
        <w:t>3. Official lock decision in v0.22.2</w:t>
      </w:r>
    </w:p>
    <w:p>
      <w:r>
        <w:t>• Keep only P03_SIZE250_ONLY as the official shadow simulation profile.</w:t>
      </w:r>
    </w:p>
    <w:p>
      <w:r>
        <w:t>• Remove multi-profile MP1-MP8 columns from the Summary report surface.</w:t>
      </w:r>
    </w:p>
    <w:p>
      <w:r>
        <w:t>• Keep TradeLifecycle QGuard fields, but make them represent P03_SIZE250_ONLY only.</w:t>
      </w:r>
    </w:p>
    <w:p>
      <w:r>
        <w:t>• Do not activate any runtime guard. This remains Shadow simulation only.</w:t>
      </w:r>
    </w:p>
    <w:p>
      <w:r>
        <w:t>• No strategy, entry, exit, SL, TP, lifecycle, risk, or execution logic changed.</w:t>
      </w:r>
    </w:p>
    <w:p>
      <w:pPr>
        <w:pStyle w:val="Heading1"/>
      </w:pPr>
      <w:r>
        <w:t>4. Expected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Check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Expected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Smoke 2026-04-01 to 2026-04-03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81 trades, 60.49% WinRate, +447.58 NetIndexPoints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April Primary 2026-04-01 to 2026-04-24/25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Actual trades/net unchanged from v0.22.1; P03 simulation delta about +77.48 on 04-01 to 04-24 report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March Primary 2026-03-01 to 2026-03-31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Actual trades/net unchanged from v0.22.1; P03 simulation delta about +77.64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Summary report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 FvgQGuardMP1-MP8 columns; only official FvgQGuard profile columns remain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TradeLifecycle report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QGuardProfile should be P03_SIZE250_ONLY; blocked trades should be size &lt; 250 only</w:t>
            </w:r>
          </w:p>
        </w:tc>
      </w:tr>
    </w:tbl>
    <w:p>
      <w:pPr>
        <w:pStyle w:val="Heading1"/>
      </w:pPr>
      <w:r>
        <w:t>5. Official testing windows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Window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Range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Primary April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01-04-2026 to 25-04-2026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Primary March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01-03-2026 to 01-04-2026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OOS February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01-02-2026 to 01-03-2026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OOS January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01-01-2026 to 01-02-2026</w:t>
            </w:r>
          </w:p>
        </w:tc>
      </w:tr>
    </w:tbl>
    <w:p>
      <w:pPr>
        <w:pStyle w:val="Heading1"/>
      </w:pPr>
      <w:r>
        <w:t>6. Standing rules and plan commitment</w:t>
      </w:r>
    </w:p>
    <w:p>
      <w:r>
        <w:t>• Full commitment to the official plan and its rules before adding or activating any feature.</w:t>
      </w:r>
    </w:p>
    <w:p>
      <w:r>
        <w:t>• Every strategy and every engine must remain fully isolated from other strategies and engines.</w:t>
      </w:r>
    </w:p>
    <w:p>
      <w:r>
        <w:t>• Diagnostics are temporary. Once a diagnostic path is proven, clean the code, inputs, and extra reports in the Lock version.</w:t>
      </w:r>
    </w:p>
    <w:p>
      <w:r>
        <w:t>• Keep ReportProfile STANDARD as the default cleanup baseline: TradeLifecycle + Summary + StrategyRegistry + AutoPeriodManifest.</w:t>
      </w:r>
    </w:p>
    <w:p>
      <w:r>
        <w:t>• No OrderSend until explicit EA execution phases.</w:t>
      </w:r>
    </w:p>
    <w:p>
      <w:r>
        <w:t>• Pattern/SMC/Evidence remain supporting evidence, not permission to trade.</w:t>
      </w:r>
    </w:p>
    <w:p>
      <w:r>
        <w:t>• No lookahead and no final-state dependency.</w:t>
      </w:r>
    </w:p>
    <w:p>
      <w:r>
        <w:t>• No early Break-Even; SL remains structural; protect only when earned; expand only on proof.</w:t>
      </w:r>
    </w:p>
    <w:p>
      <w:r>
        <w:t>• Keep inputs few and simple for normal users; internal complexity belongs in profiles/constants.</w:t>
      </w:r>
    </w:p>
    <w:p>
      <w:r>
        <w:t>• Project Memory must be sent after every version and used as the first reference in any new session.</w:t>
      </w:r>
    </w:p>
    <w:p>
      <w:pPr>
        <w:pStyle w:val="Heading1"/>
      </w:pPr>
      <w:r>
        <w:t>7. Next planned step</w:t>
      </w:r>
    </w:p>
    <w:p>
      <w:r>
        <w:t>• Run v0.22.2 Smoke first. If passed, run April and March primary validation.</w:t>
      </w:r>
    </w:p>
    <w:p>
      <w:r>
        <w:t>• If v0.22.2 matches expected parity and clean report surface, move to OOS February/January before any candidate/runtime discussion.</w:t>
      </w:r>
    </w:p>
    <w:p>
      <w:r>
        <w:t>• No guard activation before OOS confirmation.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