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Automated Trading Platform</w:t>
      </w:r>
    </w:p>
    <w:p>
      <w:pPr>
        <w:jc w:val="center"/>
      </w:pPr>
      <w:r>
        <w:rPr>
          <w:b/>
          <w:sz w:val="28"/>
        </w:rPr>
        <w:t>Project Memory — v0.26.1</w:t>
      </w:r>
    </w:p>
    <w:p>
      <w:pPr>
        <w:jc w:val="center"/>
      </w:pPr>
      <w:r>
        <w:rPr>
          <w:i/>
          <w:sz w:val="20"/>
        </w:rPr>
        <w:t>FalconGuard Risk Foundation Validation Lock</w:t>
      </w:r>
    </w:p>
    <w:p>
      <w:pPr>
        <w:pStyle w:val="Heading1"/>
      </w:pPr>
      <w: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v0.26.1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Build Tag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FalconGuardRiskFoundationValidationLock_NoExecution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Baseline Source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v0.26.0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Compile Target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0 errors, 0 warnings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No OrderSend / No Paper / No Demo / No Live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Stage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Shadow Runtime Candidate + FalconGuard readiness lock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Current Active Engine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FVG_MICRO_RETEST only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Runtime Candidate Guard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SIZE250 active inside Shadow staging only</w:t>
            </w:r>
          </w:p>
        </w:tc>
      </w:tr>
    </w:tbl>
    <w:p>
      <w:pPr>
        <w:pStyle w:val="Heading1"/>
      </w:pPr>
      <w:r>
        <w:t>2. Goal of this version</w:t>
      </w:r>
    </w:p>
    <w:p>
      <w:pPr>
        <w:pStyle w:val="ListBullet"/>
      </w:pPr>
      <w:r>
        <w:rPr>
          <w:sz w:val="20"/>
        </w:rPr>
        <w:t>Lock FalconGuard Risk Foundation after Smoke + April + March + February OOS + January OOS validation.</w:t>
      </w:r>
    </w:p>
    <w:p>
      <w:pPr>
        <w:pStyle w:val="ListBullet"/>
      </w:pPr>
      <w:r>
        <w:rPr>
          <w:sz w:val="20"/>
        </w:rPr>
        <w:t>Keep FVG Micro + SIZE250 behavior unchanged from v0.26.0.</w:t>
      </w:r>
    </w:p>
    <w:p>
      <w:pPr>
        <w:pStyle w:val="ListBullet"/>
      </w:pPr>
      <w:r>
        <w:rPr>
          <w:sz w:val="20"/>
        </w:rPr>
        <w:t>Document that FalconGuard is ready for TradeManagement foundation but still not eligible for Paper, Demo, or Live.</w:t>
      </w:r>
    </w:p>
    <w:p>
      <w:pPr>
        <w:pStyle w:val="ListBullet"/>
      </w:pPr>
      <w:r>
        <w:rPr>
          <w:sz w:val="20"/>
        </w:rPr>
        <w:t>Preserve the plan: no new engine, no new strategy, no new runtime execution.</w:t>
      </w:r>
    </w:p>
    <w:p>
      <w:pPr>
        <w:pStyle w:val="Heading1"/>
      </w:pPr>
      <w:r>
        <w:t>3. What was proven in v0.26.0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/>
                <w:sz w:val="18"/>
              </w:rPr>
              <w:t>Window</w:t>
            </w:r>
          </w:p>
        </w:tc>
        <w:tc>
          <w:tcPr>
            <w:tcW w:type="dxa" w:w="1080"/>
            <w:vAlign w:val="center"/>
            <w:shd w:fill="D9EAF7"/>
          </w:tcPr>
          <w:p>
            <w:r/>
            <w:r>
              <w:rPr>
                <w:b/>
                <w:sz w:val="18"/>
              </w:rPr>
              <w:t>Trades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WinRate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8"/>
              </w:rPr>
              <w:t>NetIndexPoints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8"/>
              </w:rPr>
              <w:t>TotalProfitUSD</w:t>
            </w:r>
          </w:p>
        </w:tc>
        <w:tc>
          <w:tcPr>
            <w:tcW w:type="dxa" w:w="1512"/>
            <w:vAlign w:val="center"/>
            <w:shd w:fill="D9EAF7"/>
          </w:tcPr>
          <w:p>
            <w:r/>
            <w:r>
              <w:rPr>
                <w:b/>
                <w:sz w:val="18"/>
              </w:rPr>
              <w:t>TotalLossUSD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8"/>
              </w:rPr>
              <w:t>NetUSD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April 2026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436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67.66%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+2158.02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+844.83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413.23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+431.60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March 2026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628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62.42%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+3708.11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+1413.13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671.50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+741.62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February OOS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488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64.75%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+2798.30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+1049.35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489.68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+559.66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January OOS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494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64.98%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+1819.65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+854.40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490.47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+363.93</w:t>
            </w:r>
          </w:p>
        </w:tc>
      </w:tr>
    </w:tbl>
    <w:p>
      <w:pPr>
        <w:pStyle w:val="Heading1"/>
      </w:pPr>
      <w:r>
        <w:t>4. Combined validation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Trades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NetIndexPoints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TotalProfitUSD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TotalLossUSD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NetUSD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Primary: April + March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1064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+5866.13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+2257.96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1084.73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+1173.22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OOS: February + January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982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+4617.95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+1903.75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980.15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+923.59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All windows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2046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+10484.08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+4161.71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2064.88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+2096.81</w:t>
            </w:r>
          </w:p>
        </w:tc>
      </w:tr>
    </w:tbl>
    <w:p>
      <w:pPr>
        <w:pStyle w:val="Heading1"/>
      </w:pPr>
      <w:r>
        <w:t>5. Official fix / lock in v0.26.1</w:t>
      </w:r>
    </w:p>
    <w:p>
      <w:pPr>
        <w:pStyle w:val="ListBullet"/>
      </w:pPr>
      <w:r>
        <w:rPr>
          <w:sz w:val="20"/>
        </w:rPr>
        <w:t>Updated version metadata from v0.26.0 to v0.26.1.</w:t>
      </w:r>
    </w:p>
    <w:p>
      <w:pPr>
        <w:pStyle w:val="ListBullet"/>
      </w:pPr>
      <w:r>
        <w:rPr>
          <w:sz w:val="20"/>
        </w:rPr>
        <w:t>Changed FalconGuardFoundationStatus to FALCON_GUARD_RISK_FOUNDATION_VALIDATION_LOCK.</w:t>
      </w:r>
    </w:p>
    <w:p>
      <w:pPr>
        <w:pStyle w:val="ListBullet"/>
      </w:pPr>
      <w:r>
        <w:rPr>
          <w:sz w:val="20"/>
        </w:rPr>
        <w:t>Changed FalconGuardFoundationDecision to RISK_FOUNDATION_FULL_VALIDATION_LOCKED_NO_EXECUTION.</w:t>
      </w:r>
    </w:p>
    <w:p>
      <w:pPr>
        <w:pStyle w:val="ListBullet"/>
      </w:pPr>
      <w:r>
        <w:rPr>
          <w:sz w:val="20"/>
        </w:rPr>
        <w:t>Kept FalconGuardExecutionPermission as NO_ORDER_SEND_NO_PAPER_NO_DEMO_NO_LIVE.</w:t>
      </w:r>
    </w:p>
    <w:p>
      <w:pPr>
        <w:pStyle w:val="ListBullet"/>
      </w:pPr>
      <w:r>
        <w:rPr>
          <w:sz w:val="20"/>
        </w:rPr>
        <w:t>Kept KillSwitch as design lock only; it does not block runtime staging yet.</w:t>
      </w:r>
    </w:p>
    <w:p>
      <w:pPr>
        <w:pStyle w:val="ListBullet"/>
      </w:pPr>
      <w:r>
        <w:rPr>
          <w:sz w:val="20"/>
        </w:rPr>
        <w:t>No change to FVG Micro entry, SIZE250 blocking behavior, SL/TP, report profile, or strategy registry.</w:t>
      </w:r>
    </w:p>
    <w:p>
      <w:pPr>
        <w:pStyle w:val="Heading1"/>
      </w:pPr>
      <w:r>
        <w:t>6. Current architecture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8"/>
              </w:rPr>
              <w:t>Current Status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Core / Market Context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Available and used by FVG Micro Shadow lifecycle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Engines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Only FVG_MICRO_RETEST active; all other engines remain disabled/shadow future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Risk / FalconGuard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Foundation validation locked; readiness/reporting only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TradeManagement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Not started as runtime layer; next required foundation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Execution / FalconExecutor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No OrderSend; no Paper/Demo/Live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Reporting / FalconJournal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STANDARD profile: TradeLifecycle + Summary + StrategyRegistry + AutoPeriodManifest</w:t>
            </w:r>
          </w:p>
        </w:tc>
      </w:tr>
    </w:tbl>
    <w:p>
      <w:pPr>
        <w:pStyle w:val="Heading1"/>
      </w:pPr>
      <w:r>
        <w:t>7. Standing rules and commitment to the plan</w:t>
      </w:r>
    </w:p>
    <w:p>
      <w:pPr>
        <w:pStyle w:val="ListBullet"/>
      </w:pPr>
      <w:r>
        <w:rPr>
          <w:sz w:val="20"/>
        </w:rPr>
        <w:t>Commitment to the official plan and its rules is mandatory in every release.</w:t>
      </w:r>
    </w:p>
    <w:p>
      <w:pPr>
        <w:pStyle w:val="ListBullet"/>
      </w:pPr>
      <w:r>
        <w:rPr>
          <w:sz w:val="20"/>
        </w:rPr>
        <w:t>No OrderSend inside any Strategy Engine; only FalconExecutor may execute in future execution phases.</w:t>
      </w:r>
    </w:p>
    <w:p>
      <w:pPr>
        <w:pStyle w:val="ListBullet"/>
      </w:pPr>
      <w:r>
        <w:rPr>
          <w:sz w:val="20"/>
        </w:rPr>
        <w:t>No Strategy enters runtime directly: Shadow -&gt; Paper -&gt; Demo -&gt; OOS -&gt; Candidate -&gt; Lock.</w:t>
      </w:r>
    </w:p>
    <w:p>
      <w:pPr>
        <w:pStyle w:val="ListBullet"/>
      </w:pPr>
      <w:r>
        <w:rPr>
          <w:sz w:val="20"/>
        </w:rPr>
        <w:t>No lookahead and no final-state dependency; do not use current-bar high/low to infer unknown event order.</w:t>
      </w:r>
    </w:p>
    <w:p>
      <w:pPr>
        <w:pStyle w:val="ListBullet"/>
      </w:pPr>
      <w:r>
        <w:rPr>
          <w:sz w:val="20"/>
        </w:rPr>
        <w:t>No early Break-Even; structural SL remains the official rule for future execution.</w:t>
      </w:r>
    </w:p>
    <w:p>
      <w:pPr>
        <w:pStyle w:val="ListBullet"/>
      </w:pPr>
      <w:r>
        <w:rPr>
          <w:sz w:val="20"/>
        </w:rPr>
        <w:t>Protect only when earned; expand only on proof.</w:t>
      </w:r>
    </w:p>
    <w:p>
      <w:pPr>
        <w:pStyle w:val="ListBullet"/>
      </w:pPr>
      <w:r>
        <w:rPr>
          <w:sz w:val="20"/>
        </w:rPr>
        <w:t>Pattern and SMC are evidence only, not permission to trade.</w:t>
      </w:r>
    </w:p>
    <w:p>
      <w:pPr>
        <w:pStyle w:val="ListBullet"/>
      </w:pPr>
      <w:r>
        <w:rPr>
          <w:sz w:val="20"/>
        </w:rPr>
        <w:t>No random loosening, no LayoutValid bypass, no threshold reduction without proof.</w:t>
      </w:r>
    </w:p>
    <w:p>
      <w:pPr>
        <w:pStyle w:val="ListBullet"/>
      </w:pPr>
      <w:r>
        <w:rPr>
          <w:sz w:val="20"/>
        </w:rPr>
        <w:t>Diagnostics are temporary; after a diagnostic path is proven, clean the code, inputs, and extra reports in Lock versions.</w:t>
      </w:r>
    </w:p>
    <w:p>
      <w:pPr>
        <w:pStyle w:val="ListBullet"/>
      </w:pPr>
      <w:r>
        <w:rPr>
          <w:sz w:val="20"/>
        </w:rPr>
        <w:t>Inputs must remain simple for normal users; complexity belongs inside profiles/constants.</w:t>
      </w:r>
    </w:p>
    <w:p>
      <w:pPr>
        <w:pStyle w:val="Heading1"/>
      </w:pPr>
      <w:r>
        <w:t>8. Official Trade Management rules to implement later</w:t>
      </w:r>
    </w:p>
    <w:p>
      <w:pPr>
        <w:pStyle w:val="ListBullet"/>
      </w:pPr>
      <w:r>
        <w:rPr>
          <w:sz w:val="20"/>
        </w:rPr>
        <w:t>Every trade must start with a Structural SL, not a random stop.</w:t>
      </w:r>
    </w:p>
    <w:p>
      <w:pPr>
        <w:pStyle w:val="ListBullet"/>
      </w:pPr>
      <w:r>
        <w:rPr>
          <w:sz w:val="20"/>
        </w:rPr>
        <w:t>TP1 = partial / pay ourselves / proof checkpoint.</w:t>
      </w:r>
    </w:p>
    <w:p>
      <w:pPr>
        <w:pStyle w:val="ListBullet"/>
      </w:pPr>
      <w:r>
        <w:rPr>
          <w:sz w:val="20"/>
        </w:rPr>
        <w:t>TP2 = stronger proof checkpoint, not mandatory full exit.</w:t>
      </w:r>
    </w:p>
    <w:p>
      <w:pPr>
        <w:pStyle w:val="ListBullet"/>
      </w:pPr>
      <w:r>
        <w:rPr>
          <w:sz w:val="20"/>
        </w:rPr>
        <w:t>Runner only after proof: acceptance, continuation, FVG hold, migration accepted, and no opposite rejection.</w:t>
      </w:r>
    </w:p>
    <w:p>
      <w:pPr>
        <w:pStyle w:val="ListBullet"/>
      </w:pPr>
      <w:r>
        <w:rPr>
          <w:sz w:val="20"/>
        </w:rPr>
        <w:t>Early Failure Exit only when follow-through fails, the level is lost, or opposite rejection appears.</w:t>
      </w:r>
    </w:p>
    <w:p>
      <w:pPr>
        <w:pStyle w:val="ListBullet"/>
      </w:pPr>
      <w:r>
        <w:rPr>
          <w:sz w:val="20"/>
        </w:rPr>
        <w:t>Adaptive Ratchet protects earned profit progressively without suffocating the trade.</w:t>
      </w:r>
    </w:p>
    <w:p>
      <w:pPr>
        <w:pStyle w:val="ListBullet"/>
      </w:pPr>
      <w:r>
        <w:rPr>
          <w:sz w:val="20"/>
        </w:rPr>
        <w:t>Any trade can expand if it proves itself, even if it started as a scalp.</w:t>
      </w:r>
    </w:p>
    <w:p>
      <w:pPr>
        <w:pStyle w:val="Heading1"/>
      </w:pPr>
      <w:r>
        <w:t>9. Known legacy problems to avoid</w:t>
      </w:r>
    </w:p>
    <w:p>
      <w:pPr>
        <w:pStyle w:val="ListBullet"/>
      </w:pPr>
      <w:r>
        <w:rPr>
          <w:sz w:val="20"/>
        </w:rPr>
        <w:t>Do not allow the file to grow into an uncontrolled tens-of-thousands-line monolith.</w:t>
      </w:r>
    </w:p>
    <w:p>
      <w:pPr>
        <w:pStyle w:val="ListBullet"/>
      </w:pPr>
      <w:r>
        <w:rPr>
          <w:sz w:val="20"/>
        </w:rPr>
        <w:t>Avoid excessive global variables and cross-engine state leakage.</w:t>
      </w:r>
    </w:p>
    <w:p>
      <w:pPr>
        <w:pStyle w:val="ListBullet"/>
      </w:pPr>
      <w:r>
        <w:rPr>
          <w:sz w:val="20"/>
        </w:rPr>
        <w:t>Avoid shared acceptance pipes that destroy engine independence.</w:t>
      </w:r>
    </w:p>
    <w:p>
      <w:pPr>
        <w:pStyle w:val="ListBullet"/>
      </w:pPr>
      <w:r>
        <w:rPr>
          <w:sz w:val="20"/>
        </w:rPr>
        <w:t>Never return to final report rebuild as the main report strategy.</w:t>
      </w:r>
    </w:p>
    <w:p>
      <w:pPr>
        <w:pStyle w:val="ListBullet"/>
      </w:pPr>
      <w:r>
        <w:rPr>
          <w:sz w:val="20"/>
        </w:rPr>
        <w:t>Avoid hidden Buy/Sell asymmetry; Sell diagnostics remain important for later phases.</w:t>
      </w:r>
    </w:p>
    <w:p>
      <w:pPr>
        <w:pStyle w:val="ListBullet"/>
      </w:pPr>
      <w:r>
        <w:rPr>
          <w:sz w:val="20"/>
        </w:rPr>
        <w:t>Do not activate features before Shadow/OOS validation.</w:t>
      </w:r>
    </w:p>
    <w:p>
      <w:pPr>
        <w:pStyle w:val="ListBullet"/>
      </w:pPr>
      <w:r>
        <w:rPr>
          <w:sz w:val="20"/>
        </w:rPr>
        <w:t>Do not add many inputs for internal thresholds; use internal profiles.</w:t>
      </w:r>
    </w:p>
    <w:p>
      <w:pPr>
        <w:pStyle w:val="Heading1"/>
      </w:pPr>
      <w:r>
        <w:t>10. Final decision</w:t>
      </w:r>
    </w:p>
    <w:p>
      <w:pPr>
        <w:pStyle w:val="ListBullet"/>
      </w:pPr>
      <w:r>
        <w:rPr>
          <w:sz w:val="20"/>
        </w:rPr>
        <w:t>v0.26.1 is the FalconGuard Risk Foundation Validation Lock.</w:t>
      </w:r>
    </w:p>
    <w:p>
      <w:pPr>
        <w:pStyle w:val="ListBullet"/>
      </w:pPr>
      <w:r>
        <w:rPr>
          <w:sz w:val="20"/>
        </w:rPr>
        <w:t>FVG Micro + SIZE250 remains the only active engine path.</w:t>
      </w:r>
    </w:p>
    <w:p>
      <w:pPr>
        <w:pStyle w:val="ListBullet"/>
      </w:pPr>
      <w:r>
        <w:rPr>
          <w:sz w:val="20"/>
        </w:rPr>
        <w:t>FalconGuard is locked as readiness/reporting layer; it is not yet broker-execution risk enforcement.</w:t>
      </w:r>
    </w:p>
    <w:p>
      <w:pPr>
        <w:pStyle w:val="ListBullet"/>
      </w:pPr>
      <w:r>
        <w:rPr>
          <w:sz w:val="20"/>
        </w:rPr>
        <w:t>Live is not allowed until TradeManagement foundation, Paper execution, Demo validation, and controlled pilot gates are completed.</w:t>
      </w:r>
    </w:p>
    <w:p>
      <w:pPr>
        <w:pStyle w:val="Heading1"/>
      </w:pPr>
      <w:r>
        <w:t>11. Next task</w:t>
      </w:r>
    </w:p>
    <w:p>
      <w:pPr>
        <w:pStyle w:val="ListBullet"/>
      </w:pPr>
      <w:r>
        <w:rPr>
          <w:sz w:val="20"/>
        </w:rPr>
        <w:t>Run Smoke test on v0.26.1: 2026-04-01 to 2026-04-03.</w:t>
      </w:r>
    </w:p>
    <w:p>
      <w:pPr>
        <w:pStyle w:val="ListBullet"/>
      </w:pPr>
      <w:r>
        <w:rPr>
          <w:sz w:val="20"/>
        </w:rPr>
        <w:t>Expected Smoke result: 57 trades, 75.44% WinRate, +470.51 NetIndexPoints, TotalProfitUSD +135.07, TotalLossUSD 40.97, NetUSD +94.10.</w:t>
      </w:r>
    </w:p>
    <w:p>
      <w:pPr>
        <w:pStyle w:val="ListBullet"/>
      </w:pPr>
      <w:r>
        <w:rPr>
          <w:sz w:val="20"/>
        </w:rPr>
        <w:t>If Smoke passes, start v0.27.0 — TradeManagement Foundation.</w:t>
      </w:r>
    </w:p>
    <w:p>
      <w:pPr>
        <w:pStyle w:val="ListBullet"/>
      </w:pPr>
      <w:r>
        <w:rPr>
          <w:sz w:val="20"/>
        </w:rPr>
        <w:t>v0.27.0 must introduce TradeManagement readiness only: StructuralStopEngine, TPBuilder, PartialManager, ProofProtectionEngine, RunnerManager, AdaptiveRatchetEngine, and EarlyFailureExitEngine as staged foundations before Paper/Demo/Live.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