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 FalconCore Automated Trading Platform</w:t>
      </w:r>
    </w:p>
    <w:p>
      <w:pPr>
        <w:jc w:val="center"/>
      </w:pPr>
      <w:r>
        <w:rPr>
          <w:rFonts w:ascii="Arial" w:hAnsi="Arial"/>
          <w:b/>
          <w:sz w:val="26"/>
        </w:rPr>
        <w:t>Project Memory — v0.34.2</w:t>
      </w:r>
    </w:p>
    <w:p>
      <w:pPr>
        <w:pStyle w:val="Heading2"/>
      </w:pPr>
      <w:r>
        <w:rPr>
          <w:rFonts w:ascii="Arial" w:hAnsi="Arial"/>
        </w:rP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rFonts w:ascii="Arial" w:hAnsi="Arial"/>
                <w:sz w:val="16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rFonts w:ascii="Arial" w:hAnsi="Arial"/>
                <w:sz w:val="16"/>
              </w:rPr>
              <w:t>Value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Current Version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v0.34.2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Build Tag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PaperProtectionRunnerStateMachineValidationLock_NoExecution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Baseline Source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v0.34.1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Compile Target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0 errors, 0 warnings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No OrderSend / No Demo / No Live / Paper state-machine proxy only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Trading Logic Change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NO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Runtime Protection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NO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Runtime Runner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NO</w:t>
            </w:r>
          </w:p>
        </w:tc>
      </w:tr>
    </w:tbl>
    <w:p>
      <w:pPr>
        <w:pStyle w:val="Heading2"/>
      </w:pPr>
      <w:r>
        <w:rPr>
          <w:rFonts w:ascii="Arial" w:hAnsi="Arial"/>
        </w:rPr>
        <w:t>2. What was validated before this lock</w:t>
      </w:r>
    </w:p>
    <w:p>
      <w:pPr>
        <w:ind w:left="288"/>
      </w:pPr>
      <w:r>
        <w:rPr>
          <w:rFonts w:ascii="Arial" w:hAnsi="Arial"/>
        </w:rPr>
        <w:t>• v0.34.0 passed full validation as a Paper Protection / Runner State Machine Simulation layer.</w:t>
      </w:r>
    </w:p>
    <w:p>
      <w:pPr>
        <w:ind w:left="288"/>
      </w:pPr>
      <w:r>
        <w:rPr>
          <w:rFonts w:ascii="Arial" w:hAnsi="Arial"/>
        </w:rPr>
        <w:t>• v0.34.1 clarified the rule that TP2 is a proof checkpoint, not a mandatory final target.</w:t>
      </w:r>
    </w:p>
    <w:p>
      <w:pPr>
        <w:ind w:left="288"/>
      </w:pPr>
      <w:r>
        <w:rPr>
          <w:rFonts w:ascii="Arial" w:hAnsi="Arial"/>
        </w:rPr>
        <w:t>• April validation showed the state machine fields were present and base results remained stable.</w:t>
      </w:r>
    </w:p>
    <w:p>
      <w:pPr>
        <w:ind w:left="288"/>
      </w:pPr>
      <w:r>
        <w:rPr>
          <w:rFonts w:ascii="Arial" w:hAnsi="Arial"/>
        </w:rPr>
        <w:t>• Protection contribution remains the dominant opportunity; runner expansion remains selective and proof-based.</w:t>
      </w:r>
    </w:p>
    <w:p>
      <w:pPr>
        <w:pStyle w:val="Heading2"/>
      </w:pPr>
      <w:r>
        <w:rPr>
          <w:rFonts w:ascii="Arial" w:hAnsi="Arial"/>
        </w:rPr>
        <w:t>3. Official lock in v0.34.2</w:t>
      </w:r>
    </w:p>
    <w:p>
      <w:pPr>
        <w:ind w:left="288"/>
      </w:pPr>
      <w:r>
        <w:rPr>
          <w:rFonts w:ascii="Arial" w:hAnsi="Arial"/>
        </w:rPr>
        <w:t>• Converted FalconPaperSMStatus to PAPER_PROTECTION_RUNNER_STATE_MACHINE_VALIDATION_LOCK.</w:t>
      </w:r>
    </w:p>
    <w:p>
      <w:pPr>
        <w:ind w:left="288"/>
      </w:pPr>
      <w:r>
        <w:rPr>
          <w:rFonts w:ascii="Arial" w:hAnsi="Arial"/>
        </w:rPr>
        <w:t>• Converted FalconPaperSMDecision to STATE_MACHINE_FULL_VALIDATION_LOCKED_TP2_GATE_NO_RUNTIME_EXIT_CHANGE.</w:t>
      </w:r>
    </w:p>
    <w:p>
      <w:pPr>
        <w:ind w:left="288"/>
      </w:pPr>
      <w:r>
        <w:rPr>
          <w:rFonts w:ascii="Arial" w:hAnsi="Arial"/>
        </w:rPr>
        <w:t>• Kept TP2 as a checkpoint and TP2ExitMandatory = NO.</w:t>
      </w:r>
    </w:p>
    <w:p>
      <w:pPr>
        <w:ind w:left="288"/>
      </w:pPr>
      <w:r>
        <w:rPr>
          <w:rFonts w:ascii="Arial" w:hAnsi="Arial"/>
        </w:rPr>
        <w:t>• Kept runner and moon-mode beyond TP2 as proxy-only after proof and protection.</w:t>
      </w:r>
    </w:p>
    <w:p>
      <w:pPr>
        <w:ind w:left="288"/>
      </w:pPr>
      <w:r>
        <w:rPr>
          <w:rFonts w:ascii="Arial" w:hAnsi="Arial"/>
        </w:rPr>
        <w:t>• No SL/TP behavior, exit behavior, order lifecycle, Paper fill, Demo, or Live behavior changed.</w:t>
      </w:r>
    </w:p>
    <w:p>
      <w:pPr>
        <w:pStyle w:val="Heading2"/>
      </w:pPr>
      <w:r>
        <w:rPr>
          <w:rFonts w:ascii="Arial" w:hAnsi="Arial"/>
        </w:rPr>
        <w:t>4. Expected smoke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rFonts w:ascii="Arial" w:hAnsi="Arial"/>
                <w:sz w:val="16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rFonts w:ascii="Arial" w:hAnsi="Arial"/>
                <w:sz w:val="16"/>
              </w:rPr>
              <w:t>Value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Test Period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2026-04-01 to 2026-04-03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Expected TotalTrades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Expected WinRate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75.44%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Expected NetIndexPoints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+470.51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Expected TotalProfitUSD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+135.07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Expected TotalLossUSD / Total Lose USD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40.97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Expected NetUSD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+94.10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Expected FalconPaperSMStatus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PAPER_PROTECTION_RUNNER_STATE_MACHINE_VALIDATION_LOCK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Expected FalconPaperSMRuntimeEnforced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NO</w:t>
            </w:r>
          </w:p>
        </w:tc>
      </w:tr>
    </w:tbl>
    <w:p>
      <w:pPr>
        <w:pStyle w:val="Heading2"/>
      </w:pPr>
      <w:r>
        <w:rPr>
          <w:rFonts w:ascii="Arial" w:hAnsi="Arial"/>
        </w:rPr>
        <w:t>5. Standing rules / commitment to plan</w:t>
      </w:r>
    </w:p>
    <w:p>
      <w:pPr>
        <w:ind w:left="288"/>
      </w:pPr>
      <w:r>
        <w:rPr>
          <w:rFonts w:ascii="Arial" w:hAnsi="Arial"/>
        </w:rPr>
        <w:t>• Every Strategy and every Engine must remain isolated; no hidden shared acceptance pipe.</w:t>
      </w:r>
    </w:p>
    <w:p>
      <w:pPr>
        <w:ind w:left="288"/>
      </w:pPr>
      <w:r>
        <w:rPr>
          <w:rFonts w:ascii="Arial" w:hAnsi="Arial"/>
        </w:rPr>
        <w:t>• Diagnostics are temporary; when a diagnostic path is proven, cleanup and lock versions must keep only official fields.</w:t>
      </w:r>
    </w:p>
    <w:p>
      <w:pPr>
        <w:ind w:left="288"/>
      </w:pPr>
      <w:r>
        <w:rPr>
          <w:rFonts w:ascii="Arial" w:hAnsi="Arial"/>
        </w:rPr>
        <w:t>• No OrderSend before the explicit execution phases.</w:t>
      </w:r>
    </w:p>
    <w:p>
      <w:pPr>
        <w:ind w:left="288"/>
      </w:pPr>
      <w:r>
        <w:rPr>
          <w:rFonts w:ascii="Arial" w:hAnsi="Arial"/>
        </w:rPr>
        <w:t>• No Demo or Live before Paper lifecycle and execution safety are validated.</w:t>
      </w:r>
    </w:p>
    <w:p>
      <w:pPr>
        <w:ind w:left="288"/>
      </w:pPr>
      <w:r>
        <w:rPr>
          <w:rFonts w:ascii="Arial" w:hAnsi="Arial"/>
        </w:rPr>
        <w:t>• No early Break-Even; protect only when earned and expand only on proof.</w:t>
      </w:r>
    </w:p>
    <w:p>
      <w:pPr>
        <w:ind w:left="288"/>
      </w:pPr>
      <w:r>
        <w:rPr>
          <w:rFonts w:ascii="Arial" w:hAnsi="Arial"/>
        </w:rPr>
        <w:t>• Pattern/SMC/Evidence support decisions but do not replace engine logic.</w:t>
      </w:r>
    </w:p>
    <w:p>
      <w:pPr>
        <w:ind w:left="288"/>
      </w:pPr>
      <w:r>
        <w:rPr>
          <w:rFonts w:ascii="Arial" w:hAnsi="Arial"/>
        </w:rPr>
        <w:t>• No lookahead and no final-state dependency for any runtime candidate.</w:t>
      </w:r>
    </w:p>
    <w:p>
      <w:pPr>
        <w:ind w:left="288"/>
      </w:pPr>
      <w:r>
        <w:rPr>
          <w:rFonts w:ascii="Arial" w:hAnsi="Arial"/>
        </w:rPr>
        <w:t>• Inputs must remain simple for normal users; complexity belongs in internal profiles and constants.</w:t>
      </w:r>
    </w:p>
    <w:p>
      <w:pPr>
        <w:ind w:left="288"/>
      </w:pPr>
      <w:r>
        <w:rPr>
          <w:rFonts w:ascii="Arial" w:hAnsi="Arial"/>
        </w:rPr>
        <w:t>• Every future report analysis must include TotalProfitUSD, TotalLossUSD / Total Lose USD, and NetUSD.</w:t>
      </w:r>
    </w:p>
    <w:p>
      <w:pPr>
        <w:pStyle w:val="Heading2"/>
      </w:pPr>
      <w:r>
        <w:rPr>
          <w:rFonts w:ascii="Arial" w:hAnsi="Arial"/>
        </w:rPr>
        <w:t>6. Known legacy problems to keep avoiding</w:t>
      </w:r>
    </w:p>
    <w:p>
      <w:pPr>
        <w:ind w:left="288"/>
      </w:pPr>
      <w:r>
        <w:rPr>
          <w:rFonts w:ascii="Arial" w:hAnsi="Arial"/>
        </w:rPr>
        <w:t>• Giant single-file expansion with uncontrolled global variables.</w:t>
      </w:r>
    </w:p>
    <w:p>
      <w:pPr>
        <w:ind w:left="288"/>
      </w:pPr>
      <w:r>
        <w:rPr>
          <w:rFonts w:ascii="Arial" w:hAnsi="Arial"/>
        </w:rPr>
        <w:t>• Features activated before Shadow / OOS validation.</w:t>
      </w:r>
    </w:p>
    <w:p>
      <w:pPr>
        <w:ind w:left="288"/>
      </w:pPr>
      <w:r>
        <w:rPr>
          <w:rFonts w:ascii="Arial" w:hAnsi="Arial"/>
        </w:rPr>
        <w:t>• Final report rebuild bottlenecks.</w:t>
      </w:r>
    </w:p>
    <w:p>
      <w:pPr>
        <w:ind w:left="288"/>
      </w:pPr>
      <w:r>
        <w:rPr>
          <w:rFonts w:ascii="Arial" w:hAnsi="Arial"/>
        </w:rPr>
        <w:t>• Buy/Sell hidden asymmetry.</w:t>
      </w:r>
    </w:p>
    <w:p>
      <w:pPr>
        <w:ind w:left="288"/>
      </w:pPr>
      <w:r>
        <w:rPr>
          <w:rFonts w:ascii="Arial" w:hAnsi="Arial"/>
        </w:rPr>
        <w:t>• Using same-bar high/low in a way that assumes impossible intra-bar ordering.</w:t>
      </w:r>
    </w:p>
    <w:p>
      <w:pPr>
        <w:ind w:left="288"/>
      </w:pPr>
      <w:r>
        <w:rPr>
          <w:rFonts w:ascii="Arial" w:hAnsi="Arial"/>
        </w:rPr>
        <w:t>• Strategy names without accepted engine lifecycle and diagnostics.</w:t>
      </w:r>
    </w:p>
    <w:p>
      <w:pPr>
        <w:pStyle w:val="Heading2"/>
      </w:pPr>
      <w:r>
        <w:rPr>
          <w:rFonts w:ascii="Arial" w:hAnsi="Arial"/>
        </w:rPr>
        <w:t>7. Next task</w:t>
      </w:r>
    </w:p>
    <w:p>
      <w:pPr>
        <w:ind w:left="288"/>
      </w:pPr>
      <w:r>
        <w:rPr>
          <w:rFonts w:ascii="Arial" w:hAnsi="Arial"/>
        </w:rPr>
        <w:t>• Run v0.34.2 Smoke on 2026-04-01 to 2026-04-03.</w:t>
      </w:r>
    </w:p>
    <w:p>
      <w:pPr>
        <w:ind w:left="288"/>
      </w:pPr>
      <w:r>
        <w:rPr>
          <w:rFonts w:ascii="Arial" w:hAnsi="Arial"/>
        </w:rPr>
        <w:t>• If Smoke passes, proceed to v0.35.0 — Paper Protection State Machine Execution Feasibility.</w:t>
      </w:r>
    </w:p>
    <w:p>
      <w:pPr>
        <w:ind w:left="288"/>
      </w:pPr>
      <w:r>
        <w:rPr>
          <w:rFonts w:ascii="Arial" w:hAnsi="Arial"/>
        </w:rPr>
        <w:t>• v0.35.0 should remain Paper/proxy-only and must not enable runtime protection or runner yet.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