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Project Memory</w:t>
        <w:br/>
      </w:r>
      <w:r>
        <w:rPr>
          <w:b/>
          <w:sz w:val="24"/>
        </w:rPr>
        <w:t>v0.55.3b — Dynamic LotSizing Safety Ramp / Max Growth Cap — LOCKED</w:t>
      </w:r>
    </w:p>
    <w:p>
      <w:pPr>
        <w:jc w:val="center"/>
      </w:pPr>
      <w:r>
        <w:rPr>
          <w:b/>
          <w:sz w:val="20"/>
        </w:rPr>
        <w:t>Status: PASSED / ACCEPTED / LOCKED | Evidence first. Execution last.</w:t>
      </w:r>
    </w:p>
    <w:p>
      <w:r>
        <w:rPr>
          <w:b/>
          <w:sz w:val="24"/>
        </w:rPr>
        <w:t>1) Lock Decision</w:t>
      </w:r>
    </w:p>
    <w:p>
      <w:pPr>
        <w:ind w:left="288" w:hanging="144"/>
      </w:pPr>
      <w:r>
        <w:rPr>
          <w:b/>
        </w:rPr>
        <w:t xml:space="preserve">• </w:t>
      </w:r>
      <w:r>
        <w:t>v0.55.3b is accepted and locked as the Dynamic LotSizing Safety Ramp / Max Growth Cap layer.</w:t>
      </w:r>
    </w:p>
    <w:p>
      <w:pPr>
        <w:ind w:left="288" w:hanging="144"/>
      </w:pPr>
      <w:r>
        <w:rPr>
          <w:b/>
        </w:rPr>
        <w:t xml:space="preserve">• </w:t>
      </w:r>
      <w:r>
        <w:t>UseFixedLot=true preserves FixedLotSize exactly. UseFixedLot=false applies dynamic lot sizing to Paper Runtime USD results.</w:t>
      </w:r>
    </w:p>
    <w:p>
      <w:pPr>
        <w:ind w:left="288" w:hanging="144"/>
      </w:pPr>
      <w:r>
        <w:rPr>
          <w:b/>
        </w:rPr>
        <w:t xml:space="preserve">• </w:t>
      </w:r>
      <w:r>
        <w:t>The unsafe v0.55.3a lot jumps were controlled. ActiveLot Max is now bounded across all tested windows.</w:t>
      </w:r>
    </w:p>
    <w:p>
      <w:pPr>
        <w:ind w:left="288" w:hanging="144"/>
      </w:pPr>
      <w:r>
        <w:rPr>
          <w:b/>
        </w:rPr>
        <w:t xml:space="preserve">• </w:t>
      </w:r>
      <w:r>
        <w:t>No strategy, entry, exit, SL/TP, Protection, Runner, or real broker execution change was introduced.</w:t>
      </w:r>
    </w:p>
    <w:p>
      <w:r>
        <w:rPr>
          <w:b/>
          <w:sz w:val="24"/>
        </w:rPr>
        <w:t>2) Safety Model</w:t>
      </w:r>
    </w:p>
    <w:p>
      <w:pPr>
        <w:ind w:left="288" w:hanging="144"/>
      </w:pPr>
      <w:r>
        <w:rPr>
          <w:b/>
        </w:rPr>
        <w:t xml:space="preserve">• </w:t>
      </w:r>
      <w:r>
        <w:t>Tier Max Lot Cap: prevents lot size above the allowed tier envelope.</w:t>
      </w:r>
    </w:p>
    <w:p>
      <w:pPr>
        <w:ind w:left="288" w:hanging="144"/>
      </w:pPr>
      <w:r>
        <w:rPr>
          <w:b/>
        </w:rPr>
        <w:t xml:space="preserve">• </w:t>
      </w:r>
      <w:r>
        <w:t>Capital-Backed Lot Cap: requires approximately 250 USD dynamic capital per 0.01 lot.</w:t>
      </w:r>
    </w:p>
    <w:p>
      <w:pPr>
        <w:ind w:left="288" w:hanging="144"/>
      </w:pPr>
      <w:r>
        <w:rPr>
          <w:b/>
        </w:rPr>
        <w:t xml:space="preserve">• </w:t>
      </w:r>
      <w:r>
        <w:t>Growth Ramp Cap: prevents sudden jump from one trade to the next.</w:t>
      </w:r>
    </w:p>
    <w:p>
      <w:pPr>
        <w:ind w:left="288" w:hanging="144"/>
      </w:pPr>
      <w:r>
        <w:rPr>
          <w:b/>
        </w:rPr>
        <w:t xml:space="preserve">• </w:t>
      </w:r>
      <w:r>
        <w:t>Dynamic capital updates after each closed Paper trade; this keeps sizing responsive to growth and decline.</w:t>
      </w:r>
    </w:p>
    <w:p>
      <w:r>
        <w:rPr>
          <w:b/>
          <w:sz w:val="24"/>
        </w:rPr>
        <w:t>3) Multi-Window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  <w:vAlign w:val="center"/>
          </w:tcPr>
          <w:p>
            <w:r>
              <w:rPr>
                <w:b/>
                <w:sz w:val="16"/>
              </w:rPr>
              <w:t>Window</w:t>
            </w:r>
          </w:p>
        </w:tc>
        <w:tc>
          <w:tcPr>
            <w:tcW w:type="dxa" w:w="1184"/>
            <w:vAlign w:val="center"/>
          </w:tcPr>
          <w:p>
            <w:r>
              <w:rPr>
                <w:b/>
                <w:sz w:val="16"/>
              </w:rPr>
              <w:t>Trades</w:t>
            </w:r>
          </w:p>
        </w:tc>
        <w:tc>
          <w:tcPr>
            <w:tcW w:type="dxa" w:w="1184"/>
            <w:vAlign w:val="center"/>
          </w:tcPr>
          <w:p>
            <w:r>
              <w:rPr>
                <w:b/>
                <w:sz w:val="16"/>
              </w:rPr>
              <w:t>Win%</w:t>
            </w:r>
          </w:p>
        </w:tc>
        <w:tc>
          <w:tcPr>
            <w:tcW w:type="dxa" w:w="1184"/>
            <w:vAlign w:val="center"/>
          </w:tcPr>
          <w:p>
            <w:r>
              <w:rPr>
                <w:b/>
                <w:sz w:val="16"/>
              </w:rPr>
              <w:t>ProfitUSD</w:t>
            </w:r>
          </w:p>
        </w:tc>
        <w:tc>
          <w:tcPr>
            <w:tcW w:type="dxa" w:w="1184"/>
            <w:vAlign w:val="center"/>
          </w:tcPr>
          <w:p>
            <w:r>
              <w:rPr>
                <w:b/>
                <w:sz w:val="16"/>
              </w:rPr>
              <w:t>LossUSD</w:t>
            </w:r>
          </w:p>
        </w:tc>
        <w:tc>
          <w:tcPr>
            <w:tcW w:type="dxa" w:w="1184"/>
            <w:vAlign w:val="center"/>
          </w:tcPr>
          <w:p>
            <w:r>
              <w:rPr>
                <w:b/>
                <w:sz w:val="16"/>
              </w:rPr>
              <w:t>Raw Net</w:t>
            </w:r>
          </w:p>
        </w:tc>
        <w:tc>
          <w:tcPr>
            <w:tcW w:type="dxa" w:w="1184"/>
            <w:vAlign w:val="center"/>
          </w:tcPr>
          <w:p>
            <w:r>
              <w:rPr>
                <w:b/>
                <w:sz w:val="16"/>
              </w:rPr>
              <w:t>Runner Net</w:t>
            </w:r>
          </w:p>
        </w:tc>
        <w:tc>
          <w:tcPr>
            <w:tcW w:type="dxa" w:w="1184"/>
            <w:vAlign w:val="center"/>
          </w:tcPr>
          <w:p>
            <w:r>
              <w:rPr>
                <w:b/>
                <w:sz w:val="16"/>
              </w:rPr>
              <w:t>Working Net</w:t>
            </w:r>
          </w:p>
        </w:tc>
        <w:tc>
          <w:tcPr>
            <w:tcW w:type="dxa" w:w="1184"/>
            <w:vAlign w:val="center"/>
          </w:tcPr>
          <w:p>
            <w:r>
              <w:rPr>
                <w:b/>
                <w:sz w:val="16"/>
              </w:rPr>
              <w:t>Max Lot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January OOS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492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65.45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1570.77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925.81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644.96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1677.41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1633.64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February OOS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488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67.01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5433.13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2452.44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2980.69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6817.65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6817.65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0.27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March OOS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628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65.61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24109.26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12083.80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12025.46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34907.93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34682.35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April Full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536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68.28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4236.11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1996.44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2239.67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4529.73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4524.85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May Fresh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258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64.73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880.06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411.22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468.83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1103.55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1103.55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0.04</w:t>
            </w:r>
          </w:p>
        </w:tc>
      </w:tr>
    </w:tbl>
    <w:p>
      <w:r>
        <w:rPr>
          <w:b/>
          <w:sz w:val="24"/>
        </w:rPr>
        <w:t>4) Dynamic LotSizing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b/>
                <w:sz w:val="16"/>
              </w:rPr>
              <w:t>Window</w:t>
            </w:r>
          </w:p>
        </w:tc>
        <w:tc>
          <w:tcPr>
            <w:tcW w:type="dxa" w:w="1522"/>
          </w:tcPr>
          <w:p>
            <w:r>
              <w:rPr>
                <w:b/>
                <w:sz w:val="16"/>
              </w:rPr>
              <w:t>Dyn Trades</w:t>
            </w:r>
          </w:p>
        </w:tc>
        <w:tc>
          <w:tcPr>
            <w:tcW w:type="dxa" w:w="1522"/>
          </w:tcPr>
          <w:p>
            <w:r>
              <w:rPr>
                <w:b/>
                <w:sz w:val="16"/>
              </w:rPr>
              <w:t>Fixed Trades</w:t>
            </w:r>
          </w:p>
        </w:tc>
        <w:tc>
          <w:tcPr>
            <w:tcW w:type="dxa" w:w="1522"/>
          </w:tcPr>
          <w:p>
            <w:r>
              <w:rPr>
                <w:b/>
                <w:sz w:val="16"/>
              </w:rPr>
              <w:t>Active Avg</w:t>
            </w:r>
          </w:p>
        </w:tc>
        <w:tc>
          <w:tcPr>
            <w:tcW w:type="dxa" w:w="1522"/>
          </w:tcPr>
          <w:p>
            <w:r>
              <w:rPr>
                <w:b/>
                <w:sz w:val="16"/>
              </w:rPr>
              <w:t>Rec Avg</w:t>
            </w:r>
          </w:p>
        </w:tc>
        <w:tc>
          <w:tcPr>
            <w:tcW w:type="dxa" w:w="1522"/>
          </w:tcPr>
          <w:p>
            <w:r>
              <w:rPr>
                <w:b/>
                <w:sz w:val="16"/>
              </w:rPr>
              <w:t>Tier Cap</w:t>
            </w:r>
          </w:p>
        </w:tc>
        <w:tc>
          <w:tcPr>
            <w:tcW w:type="dxa" w:w="1522"/>
          </w:tcPr>
          <w:p>
            <w:r>
              <w:rPr>
                <w:b/>
                <w:sz w:val="16"/>
              </w:rPr>
              <w:t>Capital Cap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January OOS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492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290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February OOS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488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324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March OOS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628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276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401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April Full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536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0.13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397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May Fresh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258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0.03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116</w:t>
            </w:r>
          </w:p>
        </w:tc>
      </w:tr>
    </w:tbl>
    <w:p>
      <w:r>
        <w:rPr>
          <w:b/>
          <w:sz w:val="24"/>
        </w:rPr>
        <w:t>5) Invariants</w:t>
      </w:r>
    </w:p>
    <w:p>
      <w:pPr>
        <w:ind w:left="288" w:hanging="144"/>
      </w:pPr>
      <w:r>
        <w:rPr>
          <w:b/>
        </w:rPr>
        <w:t xml:space="preserve">• </w:t>
      </w:r>
      <w:r>
        <w:t>OrderSend = 0 across all windows.</w:t>
      </w:r>
    </w:p>
    <w:p>
      <w:pPr>
        <w:ind w:left="288" w:hanging="144"/>
      </w:pPr>
      <w:r>
        <w:rPr>
          <w:b/>
        </w:rPr>
        <w:t xml:space="preserve">• </w:t>
      </w:r>
      <w:r>
        <w:t>BrokerModifySent = 0 across all windows.</w:t>
      </w:r>
    </w:p>
    <w:p>
      <w:pPr>
        <w:ind w:left="288" w:hanging="144"/>
      </w:pPr>
      <w:r>
        <w:rPr>
          <w:b/>
        </w:rPr>
        <w:t xml:space="preserve">• </w:t>
      </w:r>
      <w:r>
        <w:t>RuntimeSLChanged = 0 across all windows.</w:t>
      </w:r>
    </w:p>
    <w:p>
      <w:pPr>
        <w:ind w:left="288" w:hanging="144"/>
      </w:pPr>
      <w:r>
        <w:rPr>
          <w:b/>
        </w:rPr>
        <w:t xml:space="preserve">• </w:t>
      </w:r>
      <w:r>
        <w:t>SingleTradeLossCapInvariantBreaches = 0 across all windows.</w:t>
      </w:r>
    </w:p>
    <w:p>
      <w:pPr>
        <w:ind w:left="288" w:hanging="144"/>
      </w:pPr>
      <w:r>
        <w:rPr>
          <w:b/>
        </w:rPr>
        <w:t xml:space="preserve">• </w:t>
      </w:r>
      <w:r>
        <w:t>ThreeLayerEmergencyInvariantBreaches = 0 across all windows.</w:t>
      </w:r>
    </w:p>
    <w:p>
      <w:pPr>
        <w:ind w:left="288" w:hanging="144"/>
      </w:pPr>
      <w:r>
        <w:rPr>
          <w:b/>
        </w:rPr>
        <w:t xml:space="preserve">• </w:t>
      </w:r>
      <w:r>
        <w:t>DynamicLotSizingInvalidTrades = 0 across all windows.</w:t>
      </w:r>
    </w:p>
    <w:p>
      <w:r>
        <w:rPr>
          <w:b/>
          <w:sz w:val="24"/>
        </w:rPr>
        <w:t>6) Locked Baseline</w:t>
      </w:r>
    </w:p>
    <w:p>
      <w:pPr>
        <w:ind w:left="288" w:hanging="144"/>
      </w:pPr>
      <w:r>
        <w:rPr>
          <w:b/>
        </w:rPr>
        <w:t xml:space="preserve">• </w:t>
      </w:r>
      <w:r>
        <w:t>Current dynamic working baseline: v0.55.3b April Full Working NetUSD = 4524.85.</w:t>
      </w:r>
    </w:p>
    <w:p>
      <w:pPr>
        <w:ind w:left="288" w:hanging="144"/>
      </w:pPr>
      <w:r>
        <w:rPr>
          <w:b/>
        </w:rPr>
        <w:t xml:space="preserve">• </w:t>
      </w:r>
      <w:r>
        <w:t>May Fresh confirmation: v0.55.3b May Fresh Working NetUSD = 1103.55.</w:t>
      </w:r>
    </w:p>
    <w:p>
      <w:pPr>
        <w:ind w:left="288" w:hanging="144"/>
      </w:pPr>
      <w:r>
        <w:rPr>
          <w:b/>
        </w:rPr>
        <w:t xml:space="preserve">• </w:t>
      </w:r>
      <w:r>
        <w:t>Fixed-lot baseline remains available for regression comparison: v0.55.2a/v0.55.0 April Full = 1102.45 at 0.01 fixed lot.</w:t>
      </w:r>
    </w:p>
    <w:p>
      <w:r>
        <w:rPr>
          <w:b/>
          <w:sz w:val="24"/>
        </w:rPr>
        <w:t>7) Next Step</w:t>
      </w:r>
    </w:p>
    <w:p>
      <w:pPr>
        <w:ind w:left="288" w:hanging="144"/>
      </w:pPr>
      <w:r>
        <w:rPr>
          <w:b/>
        </w:rPr>
        <w:t xml:space="preserve">• </w:t>
      </w:r>
      <w:r>
        <w:t>Next recommended step: v0.55.4 — Capital Injection / Withdrawal Detection and Dynamic Capital Source Classification.</w:t>
      </w:r>
    </w:p>
    <w:p>
      <w:pPr>
        <w:ind w:left="288" w:hanging="144"/>
      </w:pPr>
      <w:r>
        <w:rPr>
          <w:b/>
        </w:rPr>
        <w:t xml:space="preserve">• </w:t>
      </w:r>
      <w:r>
        <w:t>Do not move to Escalation Detection until capital flow awareness is implemented and validated.</w:t>
      </w:r>
    </w:p>
    <w:p>
      <w:pPr>
        <w:ind w:left="288" w:hanging="144"/>
      </w:pPr>
      <w:r>
        <w:rPr>
          <w:b/>
        </w:rPr>
        <w:t xml:space="preserve">• </w:t>
      </w:r>
      <w:r>
        <w:t>Continue using the same validation windows: January, February, March, April Full, and May Fresh.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