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40" w:line="276" w:lineRule="auto"/>
        <w:jc w:val="center"/>
      </w:pPr>
      <w:r>
        <w:rPr>
          <w:rFonts w:ascii="Arial" w:hAnsi="Arial" w:cs="Arial"/>
          <w:b/>
          <w:color w:val="2CADA8"/>
          <w:sz w:val="26"/>
        </w:rPr>
        <w:t>دليل استراتيجية تداول مستقل</w:t>
      </w:r>
    </w:p>
    <w:p>
      <w:pPr>
        <w:bidi w:val="1"/>
        <w:spacing w:after="60" w:line="276" w:lineRule="auto"/>
        <w:jc w:val="center"/>
      </w:pPr>
      <w:r>
        <w:rPr>
          <w:rFonts w:ascii="Arial" w:hAnsi="Arial" w:cs="Arial"/>
          <w:b/>
          <w:color w:val="183C69"/>
          <w:sz w:val="44"/>
        </w:rPr>
        <w:t>استراتيجية الصندوقين والشمعة الحاسمة</w:t>
      </w:r>
    </w:p>
    <w:p>
      <w:pPr>
        <w:bidi w:val="1"/>
        <w:spacing w:after="240" w:line="276" w:lineRule="auto"/>
        <w:jc w:val="center"/>
      </w:pPr>
      <w:r>
        <w:rPr>
          <w:rFonts w:ascii="Arial" w:hAnsi="Arial" w:cs="Arial"/>
          <w:b/>
          <w:color w:val="575757"/>
          <w:sz w:val="24"/>
        </w:rPr>
        <w:t>Double Box + Wick Confirmation Strategy</w:t>
      </w:r>
    </w:p>
    <w:tbl>
      <w:tblPr>
        <w:tblStyle w:val="TableGrid"/>
        <w:tblW w:type="auto" w:w="0"/>
        <w:jc w:val="center"/>
        <w:tblLook w:firstColumn="1" w:firstRow="1" w:lastColumn="0" w:lastRow="0" w:noHBand="0" w:noVBand="1" w:val="04A0"/>
      </w:tblPr>
      <w:tblGrid>
        <w:gridCol w:w="5328"/>
        <w:gridCol w:w="5328"/>
      </w:tblGrid>
      <w:tr>
        <w:tc>
          <w:tcPr>
            <w:tcW w:type="dxa" w:w="2592"/>
            <w:shd w:fill="183C69"/>
            <w:textDirection w:val="rlTb"/>
            <w:vAlign w:val="center"/>
          </w:tcPr>
          <w:p>
            <w:pPr>
              <w:bidi w:val="1"/>
              <w:jc w:val="center"/>
            </w:pPr>
            <w:r>
              <w:rPr>
                <w:rFonts w:ascii="Arial" w:hAnsi="Arial" w:cs="Arial"/>
                <w:b/>
                <w:color w:val="FFFFFF"/>
                <w:sz w:val="20"/>
              </w:rPr>
              <w:t>البند</w:t>
            </w:r>
          </w:p>
        </w:tc>
        <w:tc>
          <w:tcPr>
            <w:tcW w:type="dxa" w:w="7776"/>
            <w:shd w:fill="183C69"/>
            <w:textDirection w:val="rlTb"/>
            <w:vAlign w:val="center"/>
          </w:tcPr>
          <w:p>
            <w:pPr>
              <w:bidi w:val="1"/>
              <w:jc w:val="center"/>
            </w:pPr>
            <w:r>
              <w:rPr>
                <w:rFonts w:ascii="Arial" w:hAnsi="Arial" w:cs="Arial"/>
                <w:b/>
                <w:color w:val="FFFFFF"/>
                <w:sz w:val="20"/>
              </w:rPr>
              <w:t>التفصيل</w:t>
            </w:r>
          </w:p>
        </w:tc>
      </w:tr>
      <w:tr>
        <w:tc>
          <w:tcPr>
            <w:tcW w:type="dxa" w:w="2592"/>
            <w:textDirection w:val="rlTb"/>
            <w:vAlign w:val="top"/>
          </w:tcPr>
          <w:p>
            <w:pPr>
              <w:bidi w:val="1"/>
              <w:jc w:val="right"/>
            </w:pPr>
            <w:r>
              <w:rPr>
                <w:rFonts w:ascii="Arial" w:hAnsi="Arial" w:cs="Arial"/>
                <w:color w:val="575757"/>
                <w:sz w:val="19"/>
              </w:rPr>
              <w:t>الاسم العربي المعتمد</w:t>
            </w:r>
          </w:p>
        </w:tc>
        <w:tc>
          <w:tcPr>
            <w:tcW w:type="dxa" w:w="7776"/>
            <w:textDirection w:val="rlTb"/>
            <w:vAlign w:val="top"/>
          </w:tcPr>
          <w:p>
            <w:pPr>
              <w:bidi w:val="1"/>
              <w:jc w:val="right"/>
            </w:pPr>
            <w:r>
              <w:rPr>
                <w:rFonts w:ascii="Arial" w:hAnsi="Arial" w:cs="Arial"/>
                <w:color w:val="575757"/>
                <w:sz w:val="19"/>
              </w:rPr>
              <w:t>استراتيجية الصندوقين والشمعة الحاسمة</w:t>
            </w:r>
          </w:p>
        </w:tc>
      </w:tr>
      <w:tr>
        <w:tc>
          <w:tcPr>
            <w:tcW w:type="dxa" w:w="2592"/>
            <w:textDirection w:val="rlTb"/>
            <w:vAlign w:val="top"/>
          </w:tcPr>
          <w:p>
            <w:pPr>
              <w:bidi w:val="1"/>
              <w:jc w:val="right"/>
            </w:pPr>
            <w:r>
              <w:rPr>
                <w:rFonts w:ascii="Arial" w:hAnsi="Arial" w:cs="Arial"/>
                <w:color w:val="575757"/>
                <w:sz w:val="19"/>
              </w:rPr>
              <w:t>الاسم الإنجليزي المساعد</w:t>
            </w:r>
          </w:p>
        </w:tc>
        <w:tc>
          <w:tcPr>
            <w:tcW w:type="dxa" w:w="7776"/>
            <w:textDirection w:val="rlTb"/>
            <w:vAlign w:val="top"/>
          </w:tcPr>
          <w:p>
            <w:pPr>
              <w:bidi w:val="1"/>
              <w:jc w:val="right"/>
            </w:pPr>
            <w:r>
              <w:rPr>
                <w:rFonts w:ascii="Arial" w:hAnsi="Arial" w:cs="Arial"/>
                <w:color w:val="575757"/>
                <w:sz w:val="19"/>
              </w:rPr>
              <w:t>Double Box + Wick Confirmation Strategy</w:t>
            </w:r>
          </w:p>
        </w:tc>
      </w:tr>
      <w:tr>
        <w:tc>
          <w:tcPr>
            <w:tcW w:type="dxa" w:w="2592"/>
            <w:textDirection w:val="rlTb"/>
            <w:vAlign w:val="top"/>
          </w:tcPr>
          <w:p>
            <w:pPr>
              <w:bidi w:val="1"/>
              <w:jc w:val="right"/>
            </w:pPr>
            <w:r>
              <w:rPr>
                <w:rFonts w:ascii="Arial" w:hAnsi="Arial" w:cs="Arial"/>
                <w:color w:val="575757"/>
                <w:sz w:val="19"/>
              </w:rPr>
              <w:t>الفكرة المختصرة</w:t>
            </w:r>
          </w:p>
        </w:tc>
        <w:tc>
          <w:tcPr>
            <w:tcW w:type="dxa" w:w="7776"/>
            <w:textDirection w:val="rlTb"/>
            <w:vAlign w:val="top"/>
          </w:tcPr>
          <w:p>
            <w:pPr>
              <w:bidi w:val="1"/>
              <w:jc w:val="right"/>
            </w:pPr>
            <w:r>
              <w:rPr>
                <w:rFonts w:ascii="Arial" w:hAnsi="Arial" w:cs="Arial"/>
                <w:color w:val="575757"/>
                <w:sz w:val="19"/>
              </w:rPr>
              <w:t>صندوق كبير من شمعة اليوم السابق + صندوق صغير من ما قبل/بعد السوق + شمعة رفض تؤكد الانعكاس.</w:t>
            </w:r>
          </w:p>
        </w:tc>
      </w:tr>
      <w:tr>
        <w:tc>
          <w:tcPr>
            <w:tcW w:type="dxa" w:w="2592"/>
            <w:textDirection w:val="rlTb"/>
            <w:vAlign w:val="top"/>
          </w:tcPr>
          <w:p>
            <w:pPr>
              <w:bidi w:val="1"/>
              <w:jc w:val="right"/>
            </w:pPr>
            <w:r>
              <w:rPr>
                <w:rFonts w:ascii="Arial" w:hAnsi="Arial" w:cs="Arial"/>
                <w:color w:val="575757"/>
                <w:sz w:val="19"/>
              </w:rPr>
              <w:t>نوع الاستراتيجية</w:t>
            </w:r>
          </w:p>
        </w:tc>
        <w:tc>
          <w:tcPr>
            <w:tcW w:type="dxa" w:w="7776"/>
            <w:textDirection w:val="rlTb"/>
            <w:vAlign w:val="top"/>
          </w:tcPr>
          <w:p>
            <w:pPr>
              <w:bidi w:val="1"/>
              <w:jc w:val="right"/>
            </w:pPr>
            <w:r>
              <w:rPr>
                <w:rFonts w:ascii="Arial" w:hAnsi="Arial" w:cs="Arial"/>
                <w:color w:val="575757"/>
                <w:sz w:val="19"/>
              </w:rPr>
              <w:t>انعكاس من مناطق سيولة رئيسية، مع إمكانية سكالب سريع أو صفقة يومية.</w:t>
            </w:r>
          </w:p>
        </w:tc>
      </w:tr>
      <w:tr>
        <w:tc>
          <w:tcPr>
            <w:tcW w:type="dxa" w:w="2592"/>
            <w:textDirection w:val="rlTb"/>
            <w:vAlign w:val="top"/>
          </w:tcPr>
          <w:p>
            <w:pPr>
              <w:bidi w:val="1"/>
              <w:jc w:val="right"/>
            </w:pPr>
            <w:r>
              <w:rPr>
                <w:rFonts w:ascii="Arial" w:hAnsi="Arial" w:cs="Arial"/>
                <w:color w:val="575757"/>
                <w:sz w:val="19"/>
              </w:rPr>
              <w:t>الفريم الأساسي</w:t>
            </w:r>
          </w:p>
        </w:tc>
        <w:tc>
          <w:tcPr>
            <w:tcW w:type="dxa" w:w="7776"/>
            <w:textDirection w:val="rlTb"/>
            <w:vAlign w:val="top"/>
          </w:tcPr>
          <w:p>
            <w:pPr>
              <w:bidi w:val="1"/>
              <w:jc w:val="right"/>
            </w:pPr>
            <w:r>
              <w:rPr>
                <w:rFonts w:ascii="Arial" w:hAnsi="Arial" w:cs="Arial"/>
                <w:color w:val="575757"/>
                <w:sz w:val="19"/>
              </w:rPr>
              <w:t>Daily لتحديد الصندوق الكبير، ثم 5M أو أي فريم داخلي مناسب للتنفيذ.</w:t>
            </w:r>
          </w:p>
        </w:tc>
      </w:tr>
      <w:tr>
        <w:tc>
          <w:tcPr>
            <w:tcW w:type="dxa" w:w="2592"/>
            <w:textDirection w:val="rlTb"/>
            <w:vAlign w:val="top"/>
          </w:tcPr>
          <w:p>
            <w:pPr>
              <w:bidi w:val="1"/>
              <w:jc w:val="right"/>
            </w:pPr>
            <w:r>
              <w:rPr>
                <w:rFonts w:ascii="Arial" w:hAnsi="Arial" w:cs="Arial"/>
                <w:color w:val="575757"/>
                <w:sz w:val="19"/>
              </w:rPr>
              <w:t>القاعدة الذهبية</w:t>
            </w:r>
          </w:p>
        </w:tc>
        <w:tc>
          <w:tcPr>
            <w:tcW w:type="dxa" w:w="7776"/>
            <w:textDirection w:val="rlTb"/>
            <w:vAlign w:val="top"/>
          </w:tcPr>
          <w:p>
            <w:pPr>
              <w:bidi w:val="1"/>
              <w:jc w:val="right"/>
            </w:pPr>
            <w:r>
              <w:rPr>
                <w:rFonts w:ascii="Arial" w:hAnsi="Arial" w:cs="Arial"/>
                <w:color w:val="575757"/>
                <w:sz w:val="19"/>
              </w:rPr>
              <w:t>لا شراء عند أعلى الصندوق، ولا بيع عند أسفل الصندوق، ولا تداول في منتصف الصندوق بدون سبب واضح.</w:t>
            </w:r>
          </w:p>
        </w:tc>
      </w:tr>
    </w:tbl>
    <w:p>
      <w:pPr>
        <w:bidi w:val="1"/>
        <w:spacing w:after="60" w:line="276" w:lineRule="auto"/>
        <w:jc w:val="right"/>
      </w:pPr>
    </w:p>
    <w:p>
      <w:pPr>
        <w:bidi w:val="1"/>
        <w:spacing w:before="200" w:after="100"/>
        <w:jc w:val="right"/>
      </w:pPr>
      <w:r>
        <w:rPr>
          <w:rFonts w:ascii="Arial" w:hAnsi="Arial" w:cs="Arial"/>
          <w:b/>
          <w:color w:val="183C69"/>
          <w:sz w:val="36"/>
        </w:rPr>
        <w:t>1. ملخص الفكرة</w:t>
      </w:r>
    </w:p>
    <w:p>
      <w:pPr>
        <w:bidi w:val="1"/>
        <w:spacing w:after="120" w:line="276" w:lineRule="auto"/>
        <w:jc w:val="right"/>
      </w:pPr>
      <w:r>
        <w:rPr>
          <w:rFonts w:ascii="Arial" w:hAnsi="Arial" w:cs="Arial"/>
          <w:b w:val="0"/>
          <w:color w:val="575757"/>
          <w:sz w:val="22"/>
        </w:rPr>
        <w:t>هذه الاستراتيجية مبنية على ثلاث خطوات بسيطة لكنها قوية: صندوق كبير، صندوق صغير، ثم شمعة واحدة تؤكد قرار الدخول. الهدف منها منع المتداول من ملاحقة السعر في الأماكن الخاطئة، وإجباره على التداول من مناطق سيولة واضحة حيث تظهر عادةً ردود فعل المؤسسات أو السيولة الكبيرة.</w:t>
      </w:r>
    </w:p>
    <w:tbl>
      <w:tblPr>
        <w:tblW w:type="auto" w:w="0"/>
        <w:jc w:val="center"/>
        <w:tblLook w:firstColumn="1" w:firstRow="1" w:lastColumn="0" w:lastRow="0" w:noHBand="0" w:noVBand="1" w:val="04A0"/>
      </w:tblPr>
      <w:tblGrid>
        <w:gridCol w:w="10656"/>
      </w:tblGrid>
      <w:tr>
        <w:tc>
          <w:tcPr>
            <w:tcW w:type="dxa" w:w="10656"/>
            <w:shd w:fill="F3F6F8"/>
            <w:vAlign w:val="center"/>
          </w:tcPr>
          <w:p>
            <w:pPr>
              <w:bidi w:val="1"/>
              <w:jc w:val="right"/>
            </w:pPr>
            <w:r>
              <w:rPr>
                <w:rFonts w:ascii="Consolas" w:hAnsi="Consolas" w:cs="Consolas"/>
                <w:color w:val="333333"/>
                <w:sz w:val="19"/>
              </w:rPr>
              <w:t>One Big Box  = نطاق اليوم السابق: High / Low / Mid</w:t>
            </w:r>
            <w:r>
              <w:br/>
            </w:r>
            <w:r>
              <w:rPr>
                <w:rFonts w:ascii="Consolas" w:hAnsi="Consolas" w:cs="Consolas"/>
                <w:color w:val="333333"/>
                <w:sz w:val="19"/>
              </w:rPr>
              <w:t>One Small Box = نطاق ما قبل السوق وما بعد السوق: Pre/Post Market High / Low</w:t>
            </w:r>
            <w:r>
              <w:br/>
            </w:r>
            <w:r>
              <w:rPr>
                <w:rFonts w:ascii="Consolas" w:hAnsi="Consolas" w:cs="Consolas"/>
                <w:color w:val="333333"/>
                <w:sz w:val="19"/>
              </w:rPr>
              <w:t>One Candle = شمعة رفض بذيل واضح + شمعة تأكيد بعدها</w:t>
            </w:r>
          </w:p>
        </w:tc>
      </w:tr>
    </w:tbl>
    <w:p>
      <w:pPr>
        <w:bidi w:val="1"/>
        <w:spacing w:after="40" w:line="276" w:lineRule="auto"/>
        <w:jc w:val="right"/>
      </w:pPr>
    </w:p>
    <w:p>
      <w:pPr>
        <w:bidi w:val="1"/>
        <w:spacing w:before="200" w:after="100"/>
        <w:jc w:val="right"/>
      </w:pPr>
      <w:r>
        <w:rPr>
          <w:rFonts w:ascii="Arial" w:hAnsi="Arial" w:cs="Arial"/>
          <w:b/>
          <w:color w:val="183C69"/>
          <w:sz w:val="36"/>
        </w:rPr>
        <w:t>2. الاسم المعتمد ولماذا اخترته</w:t>
      </w:r>
    </w:p>
    <w:p>
      <w:pPr>
        <w:bidi w:val="1"/>
        <w:spacing w:after="120" w:line="276" w:lineRule="auto"/>
        <w:jc w:val="right"/>
      </w:pPr>
      <w:r>
        <w:rPr>
          <w:rFonts w:ascii="Arial" w:hAnsi="Arial" w:cs="Arial"/>
          <w:b w:val="0"/>
          <w:color w:val="575757"/>
          <w:sz w:val="22"/>
        </w:rPr>
        <w:t>الاسم المقترح والمعتمد هو: استراتيجية الصندوقين والشمعة الحاسمة.</w:t>
      </w:r>
    </w:p>
    <w:p>
      <w:pPr>
        <w:bidi w:val="1"/>
        <w:spacing w:after="60"/>
        <w:ind w:left="0" w:right="360" w:hanging="240"/>
        <w:jc w:val="right"/>
      </w:pPr>
      <w:r>
        <w:rPr>
          <w:rFonts w:ascii="Arial" w:hAnsi="Arial" w:cs="Arial"/>
          <w:color w:val="575757"/>
          <w:sz w:val="21"/>
        </w:rPr>
        <w:t>• الصندوق الأول يمثل نطاق اليوم السابق، وهو خريطة السيولة الرئيسية.</w:t>
      </w:r>
    </w:p>
    <w:p>
      <w:pPr>
        <w:bidi w:val="1"/>
        <w:spacing w:after="60"/>
        <w:ind w:left="0" w:right="360" w:hanging="240"/>
        <w:jc w:val="right"/>
      </w:pPr>
      <w:r>
        <w:rPr>
          <w:rFonts w:ascii="Arial" w:hAnsi="Arial" w:cs="Arial"/>
          <w:color w:val="575757"/>
          <w:sz w:val="21"/>
        </w:rPr>
        <w:t>• الصندوق الثاني يمثل نطاق حركة ما قبل/بعد السوق، وهو خريطة السيولة القريبة في بداية الجلسة.</w:t>
      </w:r>
    </w:p>
    <w:p>
      <w:pPr>
        <w:bidi w:val="1"/>
        <w:spacing w:after="60"/>
        <w:ind w:left="0" w:right="360" w:hanging="240"/>
        <w:jc w:val="right"/>
      </w:pPr>
      <w:r>
        <w:rPr>
          <w:rFonts w:ascii="Arial" w:hAnsi="Arial" w:cs="Arial"/>
          <w:color w:val="575757"/>
          <w:sz w:val="21"/>
        </w:rPr>
        <w:t>• الشمعة الحاسمة هي شمعة الرفض التي تمنع الدخول العشوائي وتؤكد أن السعر اصطدم بمنطقة مهمة.</w:t>
      </w:r>
    </w:p>
    <w:p>
      <w:pPr>
        <w:bidi w:val="1"/>
        <w:spacing w:before="200" w:after="100"/>
        <w:jc w:val="right"/>
      </w:pPr>
      <w:r>
        <w:rPr>
          <w:rFonts w:ascii="Arial" w:hAnsi="Arial" w:cs="Arial"/>
          <w:b/>
          <w:color w:val="183C69"/>
          <w:sz w:val="36"/>
        </w:rPr>
        <w:t>3. مكونات الاستراتيجية</w:t>
      </w:r>
    </w:p>
    <w:tbl>
      <w:tblPr>
        <w:tblStyle w:val="TableGrid"/>
        <w:tblW w:type="auto" w:w="0"/>
        <w:jc w:val="center"/>
        <w:tblLook w:firstColumn="1" w:firstRow="1" w:lastColumn="0" w:lastRow="0" w:noHBand="0" w:noVBand="1" w:val="04A0"/>
      </w:tblPr>
      <w:tblGrid>
        <w:gridCol w:w="3552"/>
        <w:gridCol w:w="3552"/>
        <w:gridCol w:w="3552"/>
      </w:tblGrid>
      <w:tr>
        <w:tc>
          <w:tcPr>
            <w:tcW w:type="dxa" w:w="2160"/>
            <w:shd w:fill="183C69"/>
            <w:textDirection w:val="rlTb"/>
            <w:vAlign w:val="center"/>
          </w:tcPr>
          <w:p>
            <w:pPr>
              <w:bidi w:val="1"/>
              <w:jc w:val="center"/>
            </w:pPr>
            <w:r>
              <w:rPr>
                <w:rFonts w:ascii="Arial" w:hAnsi="Arial" w:cs="Arial"/>
                <w:b/>
                <w:color w:val="FFFFFF"/>
                <w:sz w:val="20"/>
              </w:rPr>
              <w:t>المكون</w:t>
            </w:r>
          </w:p>
        </w:tc>
        <w:tc>
          <w:tcPr>
            <w:tcW w:type="dxa" w:w="3888"/>
            <w:shd w:fill="183C69"/>
            <w:textDirection w:val="rlTb"/>
            <w:vAlign w:val="center"/>
          </w:tcPr>
          <w:p>
            <w:pPr>
              <w:bidi w:val="1"/>
              <w:jc w:val="center"/>
            </w:pPr>
            <w:r>
              <w:rPr>
                <w:rFonts w:ascii="Arial" w:hAnsi="Arial" w:cs="Arial"/>
                <w:b/>
                <w:color w:val="FFFFFF"/>
                <w:sz w:val="20"/>
              </w:rPr>
              <w:t>المعنى</w:t>
            </w:r>
          </w:p>
        </w:tc>
        <w:tc>
          <w:tcPr>
            <w:tcW w:type="dxa" w:w="4320"/>
            <w:shd w:fill="183C69"/>
            <w:textDirection w:val="rlTb"/>
            <w:vAlign w:val="center"/>
          </w:tcPr>
          <w:p>
            <w:pPr>
              <w:bidi w:val="1"/>
              <w:jc w:val="center"/>
            </w:pPr>
            <w:r>
              <w:rPr>
                <w:rFonts w:ascii="Arial" w:hAnsi="Arial" w:cs="Arial"/>
                <w:b/>
                <w:color w:val="FFFFFF"/>
                <w:sz w:val="20"/>
              </w:rPr>
              <w:t>الاستخدام العملي</w:t>
            </w:r>
          </w:p>
        </w:tc>
      </w:tr>
      <w:tr>
        <w:tc>
          <w:tcPr>
            <w:tcW w:type="dxa" w:w="2160"/>
            <w:textDirection w:val="rlTb"/>
            <w:vAlign w:val="top"/>
          </w:tcPr>
          <w:p>
            <w:pPr>
              <w:bidi w:val="1"/>
              <w:jc w:val="right"/>
            </w:pPr>
            <w:r>
              <w:rPr>
                <w:rFonts w:ascii="Arial" w:hAnsi="Arial" w:cs="Arial"/>
                <w:color w:val="575757"/>
                <w:sz w:val="19"/>
              </w:rPr>
              <w:t>الصندوق الكبير</w:t>
            </w:r>
          </w:p>
        </w:tc>
        <w:tc>
          <w:tcPr>
            <w:tcW w:type="dxa" w:w="3888"/>
            <w:textDirection w:val="rlTb"/>
            <w:vAlign w:val="top"/>
          </w:tcPr>
          <w:p>
            <w:pPr>
              <w:bidi w:val="1"/>
              <w:jc w:val="right"/>
            </w:pPr>
            <w:r>
              <w:rPr>
                <w:rFonts w:ascii="Arial" w:hAnsi="Arial" w:cs="Arial"/>
                <w:color w:val="575757"/>
                <w:sz w:val="19"/>
              </w:rPr>
              <w:t>أعلى وأدنى شمعة اليوم السابق على فريم Daily.</w:t>
            </w:r>
          </w:p>
        </w:tc>
        <w:tc>
          <w:tcPr>
            <w:tcW w:type="dxa" w:w="4320"/>
            <w:textDirection w:val="rlTb"/>
            <w:vAlign w:val="top"/>
          </w:tcPr>
          <w:p>
            <w:pPr>
              <w:bidi w:val="1"/>
              <w:jc w:val="right"/>
            </w:pPr>
            <w:r>
              <w:rPr>
                <w:rFonts w:ascii="Arial" w:hAnsi="Arial" w:cs="Arial"/>
                <w:color w:val="575757"/>
                <w:sz w:val="19"/>
              </w:rPr>
              <w:t>يعطينا مناطق البيع والشراء الرئيسية لليوم الحالي.</w:t>
            </w:r>
          </w:p>
        </w:tc>
      </w:tr>
      <w:tr>
        <w:tc>
          <w:tcPr>
            <w:tcW w:type="dxa" w:w="2160"/>
            <w:textDirection w:val="rlTb"/>
            <w:vAlign w:val="top"/>
          </w:tcPr>
          <w:p>
            <w:pPr>
              <w:bidi w:val="1"/>
              <w:jc w:val="right"/>
            </w:pPr>
            <w:r>
              <w:rPr>
                <w:rFonts w:ascii="Arial" w:hAnsi="Arial" w:cs="Arial"/>
                <w:color w:val="575757"/>
                <w:sz w:val="19"/>
              </w:rPr>
              <w:t>خط المنتصف</w:t>
            </w:r>
          </w:p>
        </w:tc>
        <w:tc>
          <w:tcPr>
            <w:tcW w:type="dxa" w:w="3888"/>
            <w:textDirection w:val="rlTb"/>
            <w:vAlign w:val="top"/>
          </w:tcPr>
          <w:p>
            <w:pPr>
              <w:bidi w:val="1"/>
              <w:jc w:val="right"/>
            </w:pPr>
            <w:r>
              <w:rPr>
                <w:rFonts w:ascii="Arial" w:hAnsi="Arial" w:cs="Arial"/>
                <w:color w:val="575757"/>
                <w:sz w:val="19"/>
              </w:rPr>
              <w:t>منتصف نطاق اليوم السابق.</w:t>
            </w:r>
          </w:p>
        </w:tc>
        <w:tc>
          <w:tcPr>
            <w:tcW w:type="dxa" w:w="4320"/>
            <w:textDirection w:val="rlTb"/>
            <w:vAlign w:val="top"/>
          </w:tcPr>
          <w:p>
            <w:pPr>
              <w:bidi w:val="1"/>
              <w:jc w:val="right"/>
            </w:pPr>
            <w:r>
              <w:rPr>
                <w:rFonts w:ascii="Arial" w:hAnsi="Arial" w:cs="Arial"/>
                <w:color w:val="575757"/>
                <w:sz w:val="19"/>
              </w:rPr>
              <w:t>منطقة تجنب للمبتدئ لأن الحركة فيها غالبًا متذبذبة.</w:t>
            </w:r>
          </w:p>
        </w:tc>
      </w:tr>
      <w:tr>
        <w:tc>
          <w:tcPr>
            <w:tcW w:type="dxa" w:w="2160"/>
            <w:textDirection w:val="rlTb"/>
            <w:vAlign w:val="top"/>
          </w:tcPr>
          <w:p>
            <w:pPr>
              <w:bidi w:val="1"/>
              <w:jc w:val="right"/>
            </w:pPr>
            <w:r>
              <w:rPr>
                <w:rFonts w:ascii="Arial" w:hAnsi="Arial" w:cs="Arial"/>
                <w:color w:val="575757"/>
                <w:sz w:val="19"/>
              </w:rPr>
              <w:t>الصندوق الصغير</w:t>
            </w:r>
          </w:p>
        </w:tc>
        <w:tc>
          <w:tcPr>
            <w:tcW w:type="dxa" w:w="3888"/>
            <w:textDirection w:val="rlTb"/>
            <w:vAlign w:val="top"/>
          </w:tcPr>
          <w:p>
            <w:pPr>
              <w:bidi w:val="1"/>
              <w:jc w:val="right"/>
            </w:pPr>
            <w:r>
              <w:rPr>
                <w:rFonts w:ascii="Arial" w:hAnsi="Arial" w:cs="Arial"/>
                <w:color w:val="575757"/>
                <w:sz w:val="19"/>
              </w:rPr>
              <w:t>أعلى وأدنى حركة ما قبل السوق وما بعد السوق.</w:t>
            </w:r>
          </w:p>
        </w:tc>
        <w:tc>
          <w:tcPr>
            <w:tcW w:type="dxa" w:w="4320"/>
            <w:textDirection w:val="rlTb"/>
            <w:vAlign w:val="top"/>
          </w:tcPr>
          <w:p>
            <w:pPr>
              <w:bidi w:val="1"/>
              <w:jc w:val="right"/>
            </w:pPr>
            <w:r>
              <w:rPr>
                <w:rFonts w:ascii="Arial" w:hAnsi="Arial" w:cs="Arial"/>
                <w:color w:val="575757"/>
                <w:sz w:val="19"/>
              </w:rPr>
              <w:t>يساعدنا على قراءة أول كسر أو سحب سيولة بعد الافتتاح.</w:t>
            </w:r>
          </w:p>
        </w:tc>
      </w:tr>
      <w:tr>
        <w:tc>
          <w:tcPr>
            <w:tcW w:type="dxa" w:w="2160"/>
            <w:textDirection w:val="rlTb"/>
            <w:vAlign w:val="top"/>
          </w:tcPr>
          <w:p>
            <w:pPr>
              <w:bidi w:val="1"/>
              <w:jc w:val="right"/>
            </w:pPr>
            <w:r>
              <w:rPr>
                <w:rFonts w:ascii="Arial" w:hAnsi="Arial" w:cs="Arial"/>
                <w:color w:val="575757"/>
                <w:sz w:val="19"/>
              </w:rPr>
              <w:t>الشمعة الحاسمة</w:t>
            </w:r>
          </w:p>
        </w:tc>
        <w:tc>
          <w:tcPr>
            <w:tcW w:type="dxa" w:w="3888"/>
            <w:textDirection w:val="rlTb"/>
            <w:vAlign w:val="top"/>
          </w:tcPr>
          <w:p>
            <w:pPr>
              <w:bidi w:val="1"/>
              <w:jc w:val="right"/>
            </w:pPr>
            <w:r>
              <w:rPr>
                <w:rFonts w:ascii="Arial" w:hAnsi="Arial" w:cs="Arial"/>
                <w:color w:val="575757"/>
                <w:sz w:val="19"/>
              </w:rPr>
              <w:t>شمعة بذيل واضح عند أعلى/أسفل الصندوق ثم شمعة تأكيد.</w:t>
            </w:r>
          </w:p>
        </w:tc>
        <w:tc>
          <w:tcPr>
            <w:tcW w:type="dxa" w:w="4320"/>
            <w:textDirection w:val="rlTb"/>
            <w:vAlign w:val="top"/>
          </w:tcPr>
          <w:p>
            <w:pPr>
              <w:bidi w:val="1"/>
              <w:jc w:val="right"/>
            </w:pPr>
            <w:r>
              <w:rPr>
                <w:rFonts w:ascii="Arial" w:hAnsi="Arial" w:cs="Arial"/>
                <w:color w:val="575757"/>
                <w:sz w:val="19"/>
              </w:rPr>
              <w:t>تعطي إشارة الدخول بعد ظهور رفض حقيقي من المنطقة.</w:t>
            </w:r>
          </w:p>
        </w:tc>
      </w:tr>
    </w:tbl>
    <w:p>
      <w:pPr>
        <w:bidi w:val="1"/>
        <w:spacing w:after="60" w:line="276" w:lineRule="auto"/>
        <w:jc w:val="right"/>
      </w:pPr>
    </w:p>
    <w:p>
      <w:pPr>
        <w:bidi w:val="1"/>
        <w:spacing w:before="200" w:after="100"/>
        <w:jc w:val="right"/>
      </w:pPr>
      <w:r>
        <w:rPr>
          <w:rFonts w:ascii="Arial" w:hAnsi="Arial" w:cs="Arial"/>
          <w:b/>
          <w:color w:val="183C69"/>
          <w:sz w:val="36"/>
        </w:rPr>
        <w:t>4. الخطوة الأولى: الصندوق الكبير</w:t>
      </w:r>
    </w:p>
    <w:p>
      <w:pPr>
        <w:bidi w:val="1"/>
        <w:spacing w:after="120" w:line="276" w:lineRule="auto"/>
        <w:jc w:val="right"/>
      </w:pPr>
      <w:r>
        <w:rPr>
          <w:rFonts w:ascii="Arial" w:hAnsi="Arial" w:cs="Arial"/>
          <w:b w:val="0"/>
          <w:color w:val="575757"/>
          <w:sz w:val="22"/>
        </w:rPr>
        <w:t>ابدأ كل يوم من فريم Daily. خذ شمعة اليوم السابق فقط، وارسم صندوقًا من أعلى سعر فيها إلى أدنى سعر فيها. بعد ذلك ارسم خطًا في منتصف الصندوق.</w:t>
      </w:r>
    </w:p>
    <w:p>
      <w:pPr>
        <w:bidi w:val="1"/>
        <w:spacing w:after="60"/>
        <w:ind w:left="0" w:right="360" w:hanging="240"/>
        <w:jc w:val="right"/>
      </w:pPr>
      <w:r>
        <w:rPr>
          <w:rFonts w:ascii="Arial" w:hAnsi="Arial" w:cs="Arial"/>
          <w:color w:val="575757"/>
          <w:sz w:val="21"/>
        </w:rPr>
        <w:t>• أعلى الصندوق = منطقة بيع محتملة لأنها تمثل أقوى منطقة سيولة بيعية من اليوم السابق.</w:t>
      </w:r>
    </w:p>
    <w:p>
      <w:pPr>
        <w:bidi w:val="1"/>
        <w:spacing w:after="60"/>
        <w:ind w:left="0" w:right="360" w:hanging="240"/>
        <w:jc w:val="right"/>
      </w:pPr>
      <w:r>
        <w:rPr>
          <w:rFonts w:ascii="Arial" w:hAnsi="Arial" w:cs="Arial"/>
          <w:color w:val="575757"/>
          <w:sz w:val="21"/>
        </w:rPr>
        <w:t>• أسفل الصندوق = منطقة شراء محتملة لأنها تمثل أقوى منطقة سيولة شرائية من اليوم السابق.</w:t>
      </w:r>
    </w:p>
    <w:p>
      <w:pPr>
        <w:bidi w:val="1"/>
        <w:spacing w:after="60"/>
        <w:ind w:left="0" w:right="360" w:hanging="240"/>
        <w:jc w:val="right"/>
      </w:pPr>
      <w:r>
        <w:rPr>
          <w:rFonts w:ascii="Arial" w:hAnsi="Arial" w:cs="Arial"/>
          <w:color w:val="575757"/>
          <w:sz w:val="21"/>
        </w:rPr>
        <w:t>• منتصف الصندوق = منطقة تذبذب؛ لا يفضل التداول منها للمبتدئ لأنها مليئة بالذهاب والعودة.</w:t>
      </w:r>
    </w:p>
    <w:tbl>
      <w:tblPr>
        <w:tblW w:type="auto" w:w="0"/>
        <w:jc w:val="center"/>
        <w:tblLook w:firstColumn="1" w:firstRow="1" w:lastColumn="0" w:lastRow="0" w:noHBand="0" w:noVBand="1" w:val="04A0"/>
      </w:tblPr>
      <w:tblGrid>
        <w:gridCol w:w="10656"/>
      </w:tblGrid>
      <w:tr>
        <w:tc>
          <w:tcPr>
            <w:tcW w:type="dxa" w:w="10656"/>
            <w:shd w:fill="F3F6F8"/>
            <w:vAlign w:val="center"/>
          </w:tcPr>
          <w:p>
            <w:pPr>
              <w:bidi w:val="1"/>
              <w:jc w:val="right"/>
            </w:pPr>
            <w:r>
              <w:rPr>
                <w:rFonts w:ascii="Consolas" w:hAnsi="Consolas" w:cs="Consolas"/>
                <w:color w:val="333333"/>
                <w:sz w:val="19"/>
              </w:rPr>
              <w:t>BigBoxHigh = PreviousDayHigh</w:t>
            </w:r>
            <w:r>
              <w:br/>
            </w:r>
            <w:r>
              <w:rPr>
                <w:rFonts w:ascii="Consolas" w:hAnsi="Consolas" w:cs="Consolas"/>
                <w:color w:val="333333"/>
                <w:sz w:val="19"/>
              </w:rPr>
              <w:t>BigBoxLow  = PreviousDayLow</w:t>
            </w:r>
            <w:r>
              <w:br/>
            </w:r>
            <w:r>
              <w:rPr>
                <w:rFonts w:ascii="Consolas" w:hAnsi="Consolas" w:cs="Consolas"/>
                <w:color w:val="333333"/>
                <w:sz w:val="19"/>
              </w:rPr>
              <w:t>BigBoxMid  = (PreviousDayHigh + PreviousDayLow) / 2</w:t>
            </w:r>
          </w:p>
        </w:tc>
      </w:tr>
    </w:tbl>
    <w:p>
      <w:pPr>
        <w:bidi w:val="1"/>
        <w:spacing w:after="40" w:line="276" w:lineRule="auto"/>
        <w:jc w:val="right"/>
      </w:pPr>
    </w:p>
    <w:p>
      <w:pPr>
        <w:bidi w:val="1"/>
        <w:spacing w:before="200" w:after="100"/>
        <w:jc w:val="right"/>
      </w:pPr>
      <w:r>
        <w:rPr>
          <w:rFonts w:ascii="Arial" w:hAnsi="Arial" w:cs="Arial"/>
          <w:b/>
          <w:color w:val="183C69"/>
          <w:sz w:val="36"/>
        </w:rPr>
        <w:t>5. قاعدة اتجاه الصفقة من الصندوق الكبير</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183C69"/>
            <w:textDirection w:val="rlTb"/>
            <w:vAlign w:val="center"/>
          </w:tcPr>
          <w:p>
            <w:pPr>
              <w:bidi w:val="1"/>
              <w:jc w:val="center"/>
            </w:pPr>
            <w:r>
              <w:rPr>
                <w:rFonts w:ascii="Arial" w:hAnsi="Arial" w:cs="Arial"/>
                <w:b/>
                <w:color w:val="FFFFFF"/>
                <w:sz w:val="20"/>
              </w:rPr>
              <w:t>مكان السعر</w:t>
            </w:r>
          </w:p>
        </w:tc>
        <w:tc>
          <w:tcPr>
            <w:tcW w:type="dxa" w:w="3888"/>
            <w:shd w:fill="183C69"/>
            <w:textDirection w:val="rlTb"/>
            <w:vAlign w:val="center"/>
          </w:tcPr>
          <w:p>
            <w:pPr>
              <w:bidi w:val="1"/>
              <w:jc w:val="center"/>
            </w:pPr>
            <w:r>
              <w:rPr>
                <w:rFonts w:ascii="Arial" w:hAnsi="Arial" w:cs="Arial"/>
                <w:b/>
                <w:color w:val="FFFFFF"/>
                <w:sz w:val="20"/>
              </w:rPr>
              <w:t>الفكرة الصحيحة</w:t>
            </w:r>
          </w:p>
        </w:tc>
        <w:tc>
          <w:tcPr>
            <w:tcW w:type="dxa" w:w="3888"/>
            <w:shd w:fill="183C69"/>
            <w:textDirection w:val="rlTb"/>
            <w:vAlign w:val="center"/>
          </w:tcPr>
          <w:p>
            <w:pPr>
              <w:bidi w:val="1"/>
              <w:jc w:val="center"/>
            </w:pPr>
            <w:r>
              <w:rPr>
                <w:rFonts w:ascii="Arial" w:hAnsi="Arial" w:cs="Arial"/>
                <w:b/>
                <w:color w:val="FFFFFF"/>
                <w:sz w:val="20"/>
              </w:rPr>
              <w:t>الفكرة الخاطئة</w:t>
            </w:r>
          </w:p>
        </w:tc>
      </w:tr>
      <w:tr>
        <w:tc>
          <w:tcPr>
            <w:tcW w:type="dxa" w:w="2880"/>
            <w:textDirection w:val="rlTb"/>
            <w:vAlign w:val="top"/>
          </w:tcPr>
          <w:p>
            <w:pPr>
              <w:bidi w:val="1"/>
              <w:jc w:val="right"/>
            </w:pPr>
            <w:r>
              <w:rPr>
                <w:rFonts w:ascii="Arial" w:hAnsi="Arial" w:cs="Arial"/>
                <w:color w:val="575757"/>
                <w:sz w:val="19"/>
              </w:rPr>
              <w:t>قرب أعلى الصندوق الكبير</w:t>
            </w:r>
          </w:p>
        </w:tc>
        <w:tc>
          <w:tcPr>
            <w:tcW w:type="dxa" w:w="3888"/>
            <w:textDirection w:val="rlTb"/>
            <w:vAlign w:val="top"/>
          </w:tcPr>
          <w:p>
            <w:pPr>
              <w:bidi w:val="1"/>
              <w:jc w:val="right"/>
            </w:pPr>
            <w:r>
              <w:rPr>
                <w:rFonts w:ascii="Arial" w:hAnsi="Arial" w:cs="Arial"/>
                <w:color w:val="575757"/>
                <w:sz w:val="19"/>
              </w:rPr>
              <w:t>نبحث عن بيع بعد ظهور رفض واضح.</w:t>
            </w:r>
          </w:p>
        </w:tc>
        <w:tc>
          <w:tcPr>
            <w:tcW w:type="dxa" w:w="3888"/>
            <w:textDirection w:val="rlTb"/>
            <w:vAlign w:val="top"/>
          </w:tcPr>
          <w:p>
            <w:pPr>
              <w:bidi w:val="1"/>
              <w:jc w:val="right"/>
            </w:pPr>
            <w:r>
              <w:rPr>
                <w:rFonts w:ascii="Arial" w:hAnsi="Arial" w:cs="Arial"/>
                <w:color w:val="575757"/>
                <w:sz w:val="19"/>
              </w:rPr>
              <w:t>لا نشتري الاختراق بشكل عاطفي.</w:t>
            </w:r>
          </w:p>
        </w:tc>
      </w:tr>
      <w:tr>
        <w:tc>
          <w:tcPr>
            <w:tcW w:type="dxa" w:w="2880"/>
            <w:textDirection w:val="rlTb"/>
            <w:vAlign w:val="top"/>
          </w:tcPr>
          <w:p>
            <w:pPr>
              <w:bidi w:val="1"/>
              <w:jc w:val="right"/>
            </w:pPr>
            <w:r>
              <w:rPr>
                <w:rFonts w:ascii="Arial" w:hAnsi="Arial" w:cs="Arial"/>
                <w:color w:val="575757"/>
                <w:sz w:val="19"/>
              </w:rPr>
              <w:t>قرب أسفل الصندوق الكبير</w:t>
            </w:r>
          </w:p>
        </w:tc>
        <w:tc>
          <w:tcPr>
            <w:tcW w:type="dxa" w:w="3888"/>
            <w:textDirection w:val="rlTb"/>
            <w:vAlign w:val="top"/>
          </w:tcPr>
          <w:p>
            <w:pPr>
              <w:bidi w:val="1"/>
              <w:jc w:val="right"/>
            </w:pPr>
            <w:r>
              <w:rPr>
                <w:rFonts w:ascii="Arial" w:hAnsi="Arial" w:cs="Arial"/>
                <w:color w:val="575757"/>
                <w:sz w:val="19"/>
              </w:rPr>
              <w:t>نبحث عن شراء بعد ظهور رفض واضح.</w:t>
            </w:r>
          </w:p>
        </w:tc>
        <w:tc>
          <w:tcPr>
            <w:tcW w:type="dxa" w:w="3888"/>
            <w:textDirection w:val="rlTb"/>
            <w:vAlign w:val="top"/>
          </w:tcPr>
          <w:p>
            <w:pPr>
              <w:bidi w:val="1"/>
              <w:jc w:val="right"/>
            </w:pPr>
            <w:r>
              <w:rPr>
                <w:rFonts w:ascii="Arial" w:hAnsi="Arial" w:cs="Arial"/>
                <w:color w:val="575757"/>
                <w:sz w:val="19"/>
              </w:rPr>
              <w:t>لا نبيع الهبوط بشكل عاطفي.</w:t>
            </w:r>
          </w:p>
        </w:tc>
      </w:tr>
      <w:tr>
        <w:tc>
          <w:tcPr>
            <w:tcW w:type="dxa" w:w="2880"/>
            <w:textDirection w:val="rlTb"/>
            <w:vAlign w:val="top"/>
          </w:tcPr>
          <w:p>
            <w:pPr>
              <w:bidi w:val="1"/>
              <w:jc w:val="right"/>
            </w:pPr>
            <w:r>
              <w:rPr>
                <w:rFonts w:ascii="Arial" w:hAnsi="Arial" w:cs="Arial"/>
                <w:color w:val="575757"/>
                <w:sz w:val="19"/>
              </w:rPr>
              <w:t>قرب منتصف الصندوق</w:t>
            </w:r>
          </w:p>
        </w:tc>
        <w:tc>
          <w:tcPr>
            <w:tcW w:type="dxa" w:w="3888"/>
            <w:textDirection w:val="rlTb"/>
            <w:vAlign w:val="top"/>
          </w:tcPr>
          <w:p>
            <w:pPr>
              <w:bidi w:val="1"/>
              <w:jc w:val="right"/>
            </w:pPr>
            <w:r>
              <w:rPr>
                <w:rFonts w:ascii="Arial" w:hAnsi="Arial" w:cs="Arial"/>
                <w:color w:val="575757"/>
                <w:sz w:val="19"/>
              </w:rPr>
              <w:t>الانتظار أفضل حتى يصل السعر إلى طرف واضح.</w:t>
            </w:r>
          </w:p>
        </w:tc>
        <w:tc>
          <w:tcPr>
            <w:tcW w:type="dxa" w:w="3888"/>
            <w:textDirection w:val="rlTb"/>
            <w:vAlign w:val="top"/>
          </w:tcPr>
          <w:p>
            <w:pPr>
              <w:bidi w:val="1"/>
              <w:jc w:val="right"/>
            </w:pPr>
            <w:r>
              <w:rPr>
                <w:rFonts w:ascii="Arial" w:hAnsi="Arial" w:cs="Arial"/>
                <w:color w:val="575757"/>
                <w:sz w:val="19"/>
              </w:rPr>
              <w:t>الدخول العشوائي من المنتصف.</w:t>
            </w:r>
          </w:p>
        </w:tc>
      </w:tr>
    </w:tbl>
    <w:p>
      <w:pPr>
        <w:bidi w:val="1"/>
        <w:spacing w:after="60" w:line="276" w:lineRule="auto"/>
        <w:jc w:val="right"/>
      </w:pPr>
    </w:p>
    <w:p>
      <w:pPr>
        <w:bidi w:val="1"/>
        <w:spacing w:before="200" w:after="100"/>
        <w:jc w:val="right"/>
      </w:pPr>
      <w:r>
        <w:rPr>
          <w:rFonts w:ascii="Arial" w:hAnsi="Arial" w:cs="Arial"/>
          <w:b/>
          <w:color w:val="183C69"/>
          <w:sz w:val="36"/>
        </w:rPr>
        <w:t>6. الخطوة الثانية: الصندوق الصغير</w:t>
      </w:r>
    </w:p>
    <w:p>
      <w:pPr>
        <w:bidi w:val="1"/>
        <w:spacing w:after="120" w:line="276" w:lineRule="auto"/>
        <w:jc w:val="right"/>
      </w:pPr>
      <w:r>
        <w:rPr>
          <w:rFonts w:ascii="Arial" w:hAnsi="Arial" w:cs="Arial"/>
          <w:b w:val="0"/>
          <w:color w:val="575757"/>
          <w:sz w:val="22"/>
        </w:rPr>
        <w:t>بعد رسم الصندوق الكبير، انتقل إلى فريم داخلي مثل 5 دقائق. ارسم صندوقًا ثانيًا من أعلى سعر إلى أدنى سعر في فترة ما قبل السوق وما بعد السوق أو الحركة الليلية قبل الافتتاح الرسمي. لا يحتاج هذا الصندوق إلى خط منتصف.</w:t>
      </w:r>
    </w:p>
    <w:p>
      <w:pPr>
        <w:bidi w:val="1"/>
        <w:spacing w:after="60"/>
        <w:ind w:left="0" w:right="360" w:hanging="240"/>
        <w:jc w:val="right"/>
      </w:pPr>
      <w:r>
        <w:rPr>
          <w:rFonts w:ascii="Arial" w:hAnsi="Arial" w:cs="Arial"/>
          <w:color w:val="575757"/>
          <w:sz w:val="21"/>
        </w:rPr>
        <w:t>• إذا كسر السعر أعلى الصندوق الصغير بسرعة، غالبًا يتجه إلى بائع الصندوق الكبير أو يختبر قمة اليوم السابق.</w:t>
      </w:r>
    </w:p>
    <w:p>
      <w:pPr>
        <w:bidi w:val="1"/>
        <w:spacing w:after="60"/>
        <w:ind w:left="0" w:right="360" w:hanging="240"/>
        <w:jc w:val="right"/>
      </w:pPr>
      <w:r>
        <w:rPr>
          <w:rFonts w:ascii="Arial" w:hAnsi="Arial" w:cs="Arial"/>
          <w:color w:val="575757"/>
          <w:sz w:val="21"/>
        </w:rPr>
        <w:t>• إذا كسر السعر أسفل الصندوق الصغير بسرعة، غالبًا يتجه إلى مشتري الصندوق الكبير أو يختبر قاع اليوم السابق.</w:t>
      </w:r>
    </w:p>
    <w:p>
      <w:pPr>
        <w:bidi w:val="1"/>
        <w:spacing w:after="60"/>
        <w:ind w:left="0" w:right="360" w:hanging="240"/>
        <w:jc w:val="right"/>
      </w:pPr>
      <w:r>
        <w:rPr>
          <w:rFonts w:ascii="Arial" w:hAnsi="Arial" w:cs="Arial"/>
          <w:color w:val="575757"/>
          <w:sz w:val="21"/>
        </w:rPr>
        <w:t>• الكسر القوي للصندوق الصغير ليس دائمًا إشارة استمرار؛ كثيرًا ما يكون سحب سيولة قبل الانعكاس.</w:t>
      </w:r>
    </w:p>
    <w:tbl>
      <w:tblPr>
        <w:tblW w:type="auto" w:w="0"/>
        <w:jc w:val="center"/>
        <w:tblLook w:firstColumn="1" w:firstRow="1" w:lastColumn="0" w:lastRow="0" w:noHBand="0" w:noVBand="1" w:val="04A0"/>
      </w:tblPr>
      <w:tblGrid>
        <w:gridCol w:w="10656"/>
      </w:tblGrid>
      <w:tr>
        <w:tc>
          <w:tcPr>
            <w:tcW w:type="dxa" w:w="10656"/>
            <w:shd w:fill="F3F6F8"/>
            <w:vAlign w:val="center"/>
          </w:tcPr>
          <w:p>
            <w:pPr>
              <w:bidi w:val="1"/>
              <w:jc w:val="right"/>
            </w:pPr>
            <w:r>
              <w:rPr>
                <w:rFonts w:ascii="Consolas" w:hAnsi="Consolas" w:cs="Consolas"/>
                <w:color w:val="333333"/>
                <w:sz w:val="19"/>
              </w:rPr>
              <w:t>SmallBoxHigh = Pre/Post Market High</w:t>
            </w:r>
            <w:r>
              <w:br/>
            </w:r>
            <w:r>
              <w:rPr>
                <w:rFonts w:ascii="Consolas" w:hAnsi="Consolas" w:cs="Consolas"/>
                <w:color w:val="333333"/>
                <w:sz w:val="19"/>
              </w:rPr>
              <w:t>SmallBoxLow  = Pre/Post Market Low</w:t>
            </w:r>
            <w:r>
              <w:br/>
            </w:r>
            <w:r>
              <w:rPr>
                <w:rFonts w:ascii="Consolas" w:hAnsi="Consolas" w:cs="Consolas"/>
                <w:color w:val="333333"/>
                <w:sz w:val="19"/>
              </w:rPr>
              <w:t>No midline is required for the small box</w:t>
            </w:r>
          </w:p>
        </w:tc>
      </w:tr>
    </w:tbl>
    <w:p>
      <w:pPr>
        <w:bidi w:val="1"/>
        <w:spacing w:after="40" w:line="276" w:lineRule="auto"/>
        <w:jc w:val="right"/>
      </w:pPr>
    </w:p>
    <w:p>
      <w:pPr>
        <w:bidi w:val="1"/>
        <w:spacing w:before="200" w:after="100"/>
        <w:jc w:val="right"/>
      </w:pPr>
      <w:r>
        <w:rPr>
          <w:rFonts w:ascii="Arial" w:hAnsi="Arial" w:cs="Arial"/>
          <w:b/>
          <w:color w:val="183C69"/>
          <w:sz w:val="36"/>
        </w:rPr>
        <w:t>7. الحالات العملية للصندوق الصغير</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183C69"/>
            <w:textDirection w:val="rlTb"/>
            <w:vAlign w:val="center"/>
          </w:tcPr>
          <w:p>
            <w:pPr>
              <w:bidi w:val="1"/>
              <w:jc w:val="center"/>
            </w:pPr>
            <w:r>
              <w:rPr>
                <w:rFonts w:ascii="Arial" w:hAnsi="Arial" w:cs="Arial"/>
                <w:b/>
                <w:color w:val="FFFFFF"/>
                <w:sz w:val="20"/>
              </w:rPr>
              <w:t>الحالة</w:t>
            </w:r>
          </w:p>
        </w:tc>
        <w:tc>
          <w:tcPr>
            <w:tcW w:type="dxa" w:w="4032"/>
            <w:shd w:fill="183C69"/>
            <w:textDirection w:val="rlTb"/>
            <w:vAlign w:val="center"/>
          </w:tcPr>
          <w:p>
            <w:pPr>
              <w:bidi w:val="1"/>
              <w:jc w:val="center"/>
            </w:pPr>
            <w:r>
              <w:rPr>
                <w:rFonts w:ascii="Arial" w:hAnsi="Arial" w:cs="Arial"/>
                <w:b/>
                <w:color w:val="FFFFFF"/>
                <w:sz w:val="20"/>
              </w:rPr>
              <w:t>الوصف</w:t>
            </w:r>
          </w:p>
        </w:tc>
        <w:tc>
          <w:tcPr>
            <w:tcW w:type="dxa" w:w="3744"/>
            <w:shd w:fill="183C69"/>
            <w:textDirection w:val="rlTb"/>
            <w:vAlign w:val="center"/>
          </w:tcPr>
          <w:p>
            <w:pPr>
              <w:bidi w:val="1"/>
              <w:jc w:val="center"/>
            </w:pPr>
            <w:r>
              <w:rPr>
                <w:rFonts w:ascii="Arial" w:hAnsi="Arial" w:cs="Arial"/>
                <w:b/>
                <w:color w:val="FFFFFF"/>
                <w:sz w:val="20"/>
              </w:rPr>
              <w:t>التوقع العملي</w:t>
            </w:r>
          </w:p>
        </w:tc>
      </w:tr>
      <w:tr>
        <w:tc>
          <w:tcPr>
            <w:tcW w:type="dxa" w:w="2880"/>
            <w:textDirection w:val="rlTb"/>
            <w:vAlign w:val="top"/>
          </w:tcPr>
          <w:p>
            <w:pPr>
              <w:bidi w:val="1"/>
              <w:jc w:val="right"/>
            </w:pPr>
            <w:r>
              <w:rPr>
                <w:rFonts w:ascii="Arial" w:hAnsi="Arial" w:cs="Arial"/>
                <w:color w:val="575757"/>
                <w:sz w:val="19"/>
              </w:rPr>
              <w:t>الصندوق الصغير داخل الصندوق الكبير</w:t>
            </w:r>
          </w:p>
        </w:tc>
        <w:tc>
          <w:tcPr>
            <w:tcW w:type="dxa" w:w="4032"/>
            <w:textDirection w:val="rlTb"/>
            <w:vAlign w:val="top"/>
          </w:tcPr>
          <w:p>
            <w:pPr>
              <w:bidi w:val="1"/>
              <w:jc w:val="right"/>
            </w:pPr>
            <w:r>
              <w:rPr>
                <w:rFonts w:ascii="Arial" w:hAnsi="Arial" w:cs="Arial"/>
                <w:color w:val="575757"/>
                <w:sz w:val="19"/>
              </w:rPr>
              <w:t>حركة ما قبل السوق محصورة بين قمة وقاع اليوم السابق.</w:t>
            </w:r>
          </w:p>
        </w:tc>
        <w:tc>
          <w:tcPr>
            <w:tcW w:type="dxa" w:w="3744"/>
            <w:textDirection w:val="rlTb"/>
            <w:vAlign w:val="top"/>
          </w:tcPr>
          <w:p>
            <w:pPr>
              <w:bidi w:val="1"/>
              <w:jc w:val="right"/>
            </w:pPr>
            <w:r>
              <w:rPr>
                <w:rFonts w:ascii="Arial" w:hAnsi="Arial" w:cs="Arial"/>
                <w:color w:val="575757"/>
                <w:sz w:val="19"/>
              </w:rPr>
              <w:t>كسر الصندوق الصغير قد يدفع السعر سريعًا إلى طرف الصندوق الكبير.</w:t>
            </w:r>
          </w:p>
        </w:tc>
      </w:tr>
      <w:tr>
        <w:tc>
          <w:tcPr>
            <w:tcW w:type="dxa" w:w="2880"/>
            <w:textDirection w:val="rlTb"/>
            <w:vAlign w:val="top"/>
          </w:tcPr>
          <w:p>
            <w:pPr>
              <w:bidi w:val="1"/>
              <w:jc w:val="right"/>
            </w:pPr>
            <w:r>
              <w:rPr>
                <w:rFonts w:ascii="Arial" w:hAnsi="Arial" w:cs="Arial"/>
                <w:color w:val="575757"/>
                <w:sz w:val="19"/>
              </w:rPr>
              <w:t>الصندوق الصغير فوق قمة اليوم السابق</w:t>
            </w:r>
          </w:p>
        </w:tc>
        <w:tc>
          <w:tcPr>
            <w:tcW w:type="dxa" w:w="4032"/>
            <w:textDirection w:val="rlTb"/>
            <w:vAlign w:val="top"/>
          </w:tcPr>
          <w:p>
            <w:pPr>
              <w:bidi w:val="1"/>
              <w:jc w:val="right"/>
            </w:pPr>
            <w:r>
              <w:rPr>
                <w:rFonts w:ascii="Arial" w:hAnsi="Arial" w:cs="Arial"/>
                <w:color w:val="575757"/>
                <w:sz w:val="19"/>
              </w:rPr>
              <w:t>Gap Up أو افتتاح أعلى من نطاق اليوم السابق.</w:t>
            </w:r>
          </w:p>
        </w:tc>
        <w:tc>
          <w:tcPr>
            <w:tcW w:type="dxa" w:w="3744"/>
            <w:textDirection w:val="rlTb"/>
            <w:vAlign w:val="top"/>
          </w:tcPr>
          <w:p>
            <w:pPr>
              <w:bidi w:val="1"/>
              <w:jc w:val="right"/>
            </w:pPr>
            <w:r>
              <w:rPr>
                <w:rFonts w:ascii="Arial" w:hAnsi="Arial" w:cs="Arial"/>
                <w:color w:val="575757"/>
                <w:sz w:val="19"/>
              </w:rPr>
              <w:t>لا نطارد الشراء؛ نراقب رفضًا بيعيًا واحتمال عودة السعر إلى قمة اليوم السابق.</w:t>
            </w:r>
          </w:p>
        </w:tc>
      </w:tr>
      <w:tr>
        <w:tc>
          <w:tcPr>
            <w:tcW w:type="dxa" w:w="2880"/>
            <w:textDirection w:val="rlTb"/>
            <w:vAlign w:val="top"/>
          </w:tcPr>
          <w:p>
            <w:pPr>
              <w:bidi w:val="1"/>
              <w:jc w:val="right"/>
            </w:pPr>
            <w:r>
              <w:rPr>
                <w:rFonts w:ascii="Arial" w:hAnsi="Arial" w:cs="Arial"/>
                <w:color w:val="575757"/>
                <w:sz w:val="19"/>
              </w:rPr>
              <w:t>الصندوق الصغير أسفل قاع اليوم السابق</w:t>
            </w:r>
          </w:p>
        </w:tc>
        <w:tc>
          <w:tcPr>
            <w:tcW w:type="dxa" w:w="4032"/>
            <w:textDirection w:val="rlTb"/>
            <w:vAlign w:val="top"/>
          </w:tcPr>
          <w:p>
            <w:pPr>
              <w:bidi w:val="1"/>
              <w:jc w:val="right"/>
            </w:pPr>
            <w:r>
              <w:rPr>
                <w:rFonts w:ascii="Arial" w:hAnsi="Arial" w:cs="Arial"/>
                <w:color w:val="575757"/>
                <w:sz w:val="19"/>
              </w:rPr>
              <w:t>Gap Down أو افتتاح أسفل نطاق اليوم السابق.</w:t>
            </w:r>
          </w:p>
        </w:tc>
        <w:tc>
          <w:tcPr>
            <w:tcW w:type="dxa" w:w="3744"/>
            <w:textDirection w:val="rlTb"/>
            <w:vAlign w:val="top"/>
          </w:tcPr>
          <w:p>
            <w:pPr>
              <w:bidi w:val="1"/>
              <w:jc w:val="right"/>
            </w:pPr>
            <w:r>
              <w:rPr>
                <w:rFonts w:ascii="Arial" w:hAnsi="Arial" w:cs="Arial"/>
                <w:color w:val="575757"/>
                <w:sz w:val="19"/>
              </w:rPr>
              <w:t>لا نطارد البيع؛ نراقب رفضًا شرائيًا واحتمال عودة السعر إلى قاع اليوم السابق.</w:t>
            </w:r>
          </w:p>
        </w:tc>
      </w:tr>
    </w:tbl>
    <w:p>
      <w:pPr>
        <w:bidi w:val="1"/>
        <w:spacing w:after="60" w:line="276" w:lineRule="auto"/>
        <w:jc w:val="right"/>
      </w:pPr>
    </w:p>
    <w:p>
      <w:pPr>
        <w:bidi w:val="1"/>
        <w:spacing w:before="200" w:after="100"/>
        <w:jc w:val="right"/>
      </w:pPr>
      <w:r>
        <w:rPr>
          <w:rFonts w:ascii="Arial" w:hAnsi="Arial" w:cs="Arial"/>
          <w:b/>
          <w:color w:val="183C69"/>
          <w:sz w:val="36"/>
        </w:rPr>
        <w:t>8. الخطوة الثالثة: الشمعة الحاسمة</w:t>
      </w:r>
    </w:p>
    <w:p>
      <w:pPr>
        <w:bidi w:val="1"/>
        <w:spacing w:after="120" w:line="276" w:lineRule="auto"/>
        <w:jc w:val="right"/>
      </w:pPr>
      <w:r>
        <w:rPr>
          <w:rFonts w:ascii="Arial" w:hAnsi="Arial" w:cs="Arial"/>
          <w:b w:val="0"/>
          <w:color w:val="575757"/>
          <w:sz w:val="22"/>
        </w:rPr>
        <w:t>لا يكفي أن يصل السعر إلى أعلى أو أسفل الصندوق. يجب أن تظهر شمعة رفض بذيل واضح، ثم تأتي شمعة بعدها تؤكد الاتجاه. الذيل هو الدليل أن السعر حاول الاختراق أو الهبوط ثم تم رفضه بقوة.</w:t>
      </w:r>
    </w:p>
    <w:p>
      <w:pPr>
        <w:bidi w:val="1"/>
        <w:spacing w:after="60"/>
        <w:ind w:left="0" w:right="360" w:hanging="240"/>
        <w:jc w:val="right"/>
      </w:pPr>
      <w:r>
        <w:rPr>
          <w:rFonts w:ascii="Arial" w:hAnsi="Arial" w:cs="Arial"/>
          <w:color w:val="575757"/>
          <w:sz w:val="21"/>
        </w:rPr>
        <w:t>• في الشراء: نحتاج ذيلًا سفليًا واضحًا عند أسفل الصندوق، ثم شمعة خضراء أو شمعة تأكيد صاعدة.</w:t>
      </w:r>
    </w:p>
    <w:p>
      <w:pPr>
        <w:bidi w:val="1"/>
        <w:spacing w:after="60"/>
        <w:ind w:left="0" w:right="360" w:hanging="240"/>
        <w:jc w:val="right"/>
      </w:pPr>
      <w:r>
        <w:rPr>
          <w:rFonts w:ascii="Arial" w:hAnsi="Arial" w:cs="Arial"/>
          <w:color w:val="575757"/>
          <w:sz w:val="21"/>
        </w:rPr>
        <w:t>• في البيع: نحتاج ذيلًا علويًا واضحًا عند أعلى الصندوق، ثم شمعة حمراء أو شمعة تأكيد هابطة.</w:t>
      </w:r>
    </w:p>
    <w:p>
      <w:pPr>
        <w:bidi w:val="1"/>
        <w:spacing w:after="60"/>
        <w:ind w:left="0" w:right="360" w:hanging="240"/>
        <w:jc w:val="right"/>
      </w:pPr>
      <w:r>
        <w:rPr>
          <w:rFonts w:ascii="Arial" w:hAnsi="Arial" w:cs="Arial"/>
          <w:color w:val="575757"/>
          <w:sz w:val="21"/>
        </w:rPr>
        <w:t>• كلما كان الذيل أوضح، كانت إشارة الرفض أقوى.</w:t>
      </w:r>
    </w:p>
    <w:p>
      <w:pPr>
        <w:bidi w:val="1"/>
        <w:spacing w:after="60"/>
        <w:ind w:left="0" w:right="360" w:hanging="240"/>
        <w:jc w:val="right"/>
      </w:pPr>
      <w:r>
        <w:rPr>
          <w:rFonts w:ascii="Arial" w:hAnsi="Arial" w:cs="Arial"/>
          <w:color w:val="575757"/>
          <w:sz w:val="21"/>
        </w:rPr>
        <w:t>• الدخول بدون شمعة رفض يعني أنك تدخل قبل أن يثبت السعر وجود مشترٍ أو بائع حقيقي.</w:t>
      </w:r>
    </w:p>
    <w:p>
      <w:pPr>
        <w:bidi w:val="1"/>
        <w:spacing w:before="200" w:after="100"/>
        <w:jc w:val="right"/>
      </w:pPr>
      <w:r>
        <w:rPr>
          <w:rFonts w:ascii="Arial" w:hAnsi="Arial" w:cs="Arial"/>
          <w:b/>
          <w:color w:val="183C69"/>
          <w:sz w:val="36"/>
        </w:rPr>
        <w:t>9. قواعد الشراء</w:t>
      </w:r>
    </w:p>
    <w:p>
      <w:pPr>
        <w:bidi w:val="1"/>
        <w:spacing w:after="120" w:line="276" w:lineRule="auto"/>
        <w:jc w:val="right"/>
      </w:pPr>
      <w:r>
        <w:rPr>
          <w:rFonts w:ascii="Arial" w:hAnsi="Arial" w:cs="Arial"/>
          <w:b w:val="0"/>
          <w:color w:val="575757"/>
          <w:sz w:val="22"/>
        </w:rPr>
        <w:t>نبحث عن الشراء فقط عندما يكون السعر عند أسفل الصندوق الكبير أو بعد سحب سيولة أسفل الصندوق الصغير ثم رجوعه إلى منطقة مشتري اليوم السابق.</w:t>
      </w:r>
    </w:p>
    <w:tbl>
      <w:tblPr>
        <w:tblW w:type="auto" w:w="0"/>
        <w:jc w:val="center"/>
        <w:tblLook w:firstColumn="1" w:firstRow="1" w:lastColumn="0" w:lastRow="0" w:noHBand="0" w:noVBand="1" w:val="04A0"/>
      </w:tblPr>
      <w:tblGrid>
        <w:gridCol w:w="10656"/>
      </w:tblGrid>
      <w:tr>
        <w:tc>
          <w:tcPr>
            <w:tcW w:type="dxa" w:w="10656"/>
            <w:shd w:fill="F3F6F8"/>
            <w:vAlign w:val="center"/>
          </w:tcPr>
          <w:p>
            <w:pPr>
              <w:bidi w:val="1"/>
              <w:jc w:val="right"/>
            </w:pPr>
            <w:r>
              <w:rPr>
                <w:rFonts w:ascii="Consolas" w:hAnsi="Consolas" w:cs="Consolas"/>
                <w:color w:val="333333"/>
                <w:sz w:val="19"/>
              </w:rPr>
              <w:t>IF price reaches BigBoxLow OR sweeps below SmallBoxLow toward BigBoxLow</w:t>
            </w:r>
            <w:r>
              <w:br/>
            </w:r>
            <w:r>
              <w:rPr>
                <w:rFonts w:ascii="Consolas" w:hAnsi="Consolas" w:cs="Consolas"/>
                <w:color w:val="333333"/>
                <w:sz w:val="19"/>
              </w:rPr>
              <w:t>AND a lower wick rejection candle appears</w:t>
            </w:r>
            <w:r>
              <w:br/>
            </w:r>
            <w:r>
              <w:rPr>
                <w:rFonts w:ascii="Consolas" w:hAnsi="Consolas" w:cs="Consolas"/>
                <w:color w:val="333333"/>
                <w:sz w:val="19"/>
              </w:rPr>
              <w:t>AND the next candle turns green / bullish</w:t>
            </w:r>
            <w:r>
              <w:br/>
            </w:r>
            <w:r>
              <w:rPr>
                <w:rFonts w:ascii="Consolas" w:hAnsi="Consolas" w:cs="Consolas"/>
                <w:color w:val="333333"/>
                <w:sz w:val="19"/>
              </w:rPr>
              <w:t>THEN enter Buy on confirmation</w:t>
            </w:r>
            <w:r>
              <w:br/>
            </w:r>
            <w:r>
              <w:rPr>
                <w:rFonts w:ascii="Consolas" w:hAnsi="Consolas" w:cs="Consolas"/>
                <w:color w:val="333333"/>
                <w:sz w:val="19"/>
              </w:rPr>
              <w:t>SL = below rejection wick low</w:t>
            </w:r>
            <w:r>
              <w:br/>
            </w:r>
            <w:r>
              <w:rPr>
                <w:rFonts w:ascii="Consolas" w:hAnsi="Consolas" w:cs="Consolas"/>
                <w:color w:val="333333"/>
                <w:sz w:val="19"/>
              </w:rPr>
              <w:t>TP1 = SmallBoxMid or SmallBoxHigh if relevant</w:t>
            </w:r>
            <w:r>
              <w:br/>
            </w:r>
            <w:r>
              <w:rPr>
                <w:rFonts w:ascii="Consolas" w:hAnsi="Consolas" w:cs="Consolas"/>
                <w:color w:val="333333"/>
                <w:sz w:val="19"/>
              </w:rPr>
              <w:t>TP2 = BigBoxMid</w:t>
            </w:r>
            <w:r>
              <w:br/>
            </w:r>
            <w:r>
              <w:rPr>
                <w:rFonts w:ascii="Consolas" w:hAnsi="Consolas" w:cs="Consolas"/>
                <w:color w:val="333333"/>
                <w:sz w:val="19"/>
              </w:rPr>
              <w:t>TP3 = BigBoxHigh or previous seller area</w:t>
            </w:r>
          </w:p>
        </w:tc>
      </w:tr>
    </w:tbl>
    <w:p>
      <w:pPr>
        <w:bidi w:val="1"/>
        <w:spacing w:after="40" w:line="276" w:lineRule="auto"/>
        <w:jc w:val="right"/>
      </w:pPr>
    </w:p>
    <w:p>
      <w:pPr>
        <w:bidi w:val="1"/>
        <w:spacing w:before="200" w:after="100"/>
        <w:jc w:val="right"/>
      </w:pPr>
      <w:r>
        <w:rPr>
          <w:rFonts w:ascii="Arial" w:hAnsi="Arial" w:cs="Arial"/>
          <w:b/>
          <w:color w:val="183C69"/>
          <w:sz w:val="36"/>
        </w:rPr>
        <w:t>10. قواعد البيع</w:t>
      </w:r>
    </w:p>
    <w:p>
      <w:pPr>
        <w:bidi w:val="1"/>
        <w:spacing w:after="120" w:line="276" w:lineRule="auto"/>
        <w:jc w:val="right"/>
      </w:pPr>
      <w:r>
        <w:rPr>
          <w:rFonts w:ascii="Arial" w:hAnsi="Arial" w:cs="Arial"/>
          <w:b w:val="0"/>
          <w:color w:val="575757"/>
          <w:sz w:val="22"/>
        </w:rPr>
        <w:t>نبحث عن البيع فقط عندما يكون السعر عند أعلى الصندوق الكبير أو بعد سحب سيولة أعلى الصندوق الصغير ثم رجوعه إلى منطقة بائع اليوم السابق.</w:t>
      </w:r>
    </w:p>
    <w:tbl>
      <w:tblPr>
        <w:tblW w:type="auto" w:w="0"/>
        <w:jc w:val="center"/>
        <w:tblLook w:firstColumn="1" w:firstRow="1" w:lastColumn="0" w:lastRow="0" w:noHBand="0" w:noVBand="1" w:val="04A0"/>
      </w:tblPr>
      <w:tblGrid>
        <w:gridCol w:w="10656"/>
      </w:tblGrid>
      <w:tr>
        <w:tc>
          <w:tcPr>
            <w:tcW w:type="dxa" w:w="10656"/>
            <w:shd w:fill="F3F6F8"/>
            <w:vAlign w:val="center"/>
          </w:tcPr>
          <w:p>
            <w:pPr>
              <w:bidi w:val="1"/>
              <w:jc w:val="right"/>
            </w:pPr>
            <w:r>
              <w:rPr>
                <w:rFonts w:ascii="Consolas" w:hAnsi="Consolas" w:cs="Consolas"/>
                <w:color w:val="333333"/>
                <w:sz w:val="19"/>
              </w:rPr>
              <w:t>IF price reaches BigBoxHigh OR sweeps above SmallBoxHigh toward BigBoxHigh</w:t>
            </w:r>
            <w:r>
              <w:br/>
            </w:r>
            <w:r>
              <w:rPr>
                <w:rFonts w:ascii="Consolas" w:hAnsi="Consolas" w:cs="Consolas"/>
                <w:color w:val="333333"/>
                <w:sz w:val="19"/>
              </w:rPr>
              <w:t>AND an upper wick rejection candle appears</w:t>
            </w:r>
            <w:r>
              <w:br/>
            </w:r>
            <w:r>
              <w:rPr>
                <w:rFonts w:ascii="Consolas" w:hAnsi="Consolas" w:cs="Consolas"/>
                <w:color w:val="333333"/>
                <w:sz w:val="19"/>
              </w:rPr>
              <w:t>AND the next candle turns red / bearish</w:t>
            </w:r>
            <w:r>
              <w:br/>
            </w:r>
            <w:r>
              <w:rPr>
                <w:rFonts w:ascii="Consolas" w:hAnsi="Consolas" w:cs="Consolas"/>
                <w:color w:val="333333"/>
                <w:sz w:val="19"/>
              </w:rPr>
              <w:t>THEN enter Sell on confirmation</w:t>
            </w:r>
            <w:r>
              <w:br/>
            </w:r>
            <w:r>
              <w:rPr>
                <w:rFonts w:ascii="Consolas" w:hAnsi="Consolas" w:cs="Consolas"/>
                <w:color w:val="333333"/>
                <w:sz w:val="19"/>
              </w:rPr>
              <w:t>SL = above rejection wick high</w:t>
            </w:r>
            <w:r>
              <w:br/>
            </w:r>
            <w:r>
              <w:rPr>
                <w:rFonts w:ascii="Consolas" w:hAnsi="Consolas" w:cs="Consolas"/>
                <w:color w:val="333333"/>
                <w:sz w:val="19"/>
              </w:rPr>
              <w:t>TP1 = SmallBoxMid or SmallBoxLow if relevant</w:t>
            </w:r>
            <w:r>
              <w:br/>
            </w:r>
            <w:r>
              <w:rPr>
                <w:rFonts w:ascii="Consolas" w:hAnsi="Consolas" w:cs="Consolas"/>
                <w:color w:val="333333"/>
                <w:sz w:val="19"/>
              </w:rPr>
              <w:t>TP2 = BigBoxMid</w:t>
            </w:r>
            <w:r>
              <w:br/>
            </w:r>
            <w:r>
              <w:rPr>
                <w:rFonts w:ascii="Consolas" w:hAnsi="Consolas" w:cs="Consolas"/>
                <w:color w:val="333333"/>
                <w:sz w:val="19"/>
              </w:rPr>
              <w:t>TP3 = BigBoxLow or previous buyer area</w:t>
            </w:r>
          </w:p>
        </w:tc>
      </w:tr>
    </w:tbl>
    <w:p>
      <w:pPr>
        <w:bidi w:val="1"/>
        <w:spacing w:after="40" w:line="276" w:lineRule="auto"/>
        <w:jc w:val="right"/>
      </w:pPr>
    </w:p>
    <w:p>
      <w:pPr>
        <w:bidi w:val="1"/>
        <w:spacing w:before="200" w:after="100"/>
        <w:jc w:val="right"/>
      </w:pPr>
      <w:r>
        <w:rPr>
          <w:rFonts w:ascii="Arial" w:hAnsi="Arial" w:cs="Arial"/>
          <w:b/>
          <w:color w:val="183C69"/>
          <w:sz w:val="36"/>
        </w:rPr>
        <w:t>11. الدخول والوقف والأهداف</w:t>
      </w:r>
    </w:p>
    <w:tbl>
      <w:tblPr>
        <w:tblStyle w:val="TableGrid"/>
        <w:tblW w:type="auto" w:w="0"/>
        <w:jc w:val="center"/>
        <w:tblLook w:firstColumn="1" w:firstRow="1" w:lastColumn="0" w:lastRow="0" w:noHBand="0" w:noVBand="1" w:val="04A0"/>
      </w:tblPr>
      <w:tblGrid>
        <w:gridCol w:w="3552"/>
        <w:gridCol w:w="3552"/>
        <w:gridCol w:w="3552"/>
      </w:tblGrid>
      <w:tr>
        <w:tc>
          <w:tcPr>
            <w:tcW w:type="dxa" w:w="2304"/>
            <w:shd w:fill="183C69"/>
            <w:textDirection w:val="rlTb"/>
            <w:vAlign w:val="center"/>
          </w:tcPr>
          <w:p>
            <w:pPr>
              <w:bidi w:val="1"/>
              <w:jc w:val="center"/>
            </w:pPr>
            <w:r>
              <w:rPr>
                <w:rFonts w:ascii="Arial" w:hAnsi="Arial" w:cs="Arial"/>
                <w:b/>
                <w:color w:val="FFFFFF"/>
                <w:sz w:val="20"/>
              </w:rPr>
              <w:t>العنصر</w:t>
            </w:r>
          </w:p>
        </w:tc>
        <w:tc>
          <w:tcPr>
            <w:tcW w:type="dxa" w:w="4176"/>
            <w:shd w:fill="183C69"/>
            <w:textDirection w:val="rlTb"/>
            <w:vAlign w:val="center"/>
          </w:tcPr>
          <w:p>
            <w:pPr>
              <w:bidi w:val="1"/>
              <w:jc w:val="center"/>
            </w:pPr>
            <w:r>
              <w:rPr>
                <w:rFonts w:ascii="Arial" w:hAnsi="Arial" w:cs="Arial"/>
                <w:b/>
                <w:color w:val="FFFFFF"/>
                <w:sz w:val="20"/>
              </w:rPr>
              <w:t>في الشراء</w:t>
            </w:r>
          </w:p>
        </w:tc>
        <w:tc>
          <w:tcPr>
            <w:tcW w:type="dxa" w:w="4176"/>
            <w:shd w:fill="183C69"/>
            <w:textDirection w:val="rlTb"/>
            <w:vAlign w:val="center"/>
          </w:tcPr>
          <w:p>
            <w:pPr>
              <w:bidi w:val="1"/>
              <w:jc w:val="center"/>
            </w:pPr>
            <w:r>
              <w:rPr>
                <w:rFonts w:ascii="Arial" w:hAnsi="Arial" w:cs="Arial"/>
                <w:b/>
                <w:color w:val="FFFFFF"/>
                <w:sz w:val="20"/>
              </w:rPr>
              <w:t>في البيع</w:t>
            </w:r>
          </w:p>
        </w:tc>
      </w:tr>
      <w:tr>
        <w:tc>
          <w:tcPr>
            <w:tcW w:type="dxa" w:w="2304"/>
            <w:textDirection w:val="rlTb"/>
            <w:vAlign w:val="top"/>
          </w:tcPr>
          <w:p>
            <w:pPr>
              <w:bidi w:val="1"/>
              <w:jc w:val="right"/>
            </w:pPr>
            <w:r>
              <w:rPr>
                <w:rFonts w:ascii="Arial" w:hAnsi="Arial" w:cs="Arial"/>
                <w:color w:val="575757"/>
                <w:sz w:val="19"/>
              </w:rPr>
              <w:t>الدخول</w:t>
            </w:r>
          </w:p>
        </w:tc>
        <w:tc>
          <w:tcPr>
            <w:tcW w:type="dxa" w:w="4176"/>
            <w:textDirection w:val="rlTb"/>
            <w:vAlign w:val="top"/>
          </w:tcPr>
          <w:p>
            <w:pPr>
              <w:bidi w:val="1"/>
              <w:jc w:val="right"/>
            </w:pPr>
            <w:r>
              <w:rPr>
                <w:rFonts w:ascii="Arial" w:hAnsi="Arial" w:cs="Arial"/>
                <w:color w:val="575757"/>
                <w:sz w:val="19"/>
              </w:rPr>
              <w:t>بعد ذيل سفلي واضح ثم شمعة تأكيد صاعدة.</w:t>
            </w:r>
          </w:p>
        </w:tc>
        <w:tc>
          <w:tcPr>
            <w:tcW w:type="dxa" w:w="4176"/>
            <w:textDirection w:val="rlTb"/>
            <w:vAlign w:val="top"/>
          </w:tcPr>
          <w:p>
            <w:pPr>
              <w:bidi w:val="1"/>
              <w:jc w:val="right"/>
            </w:pPr>
            <w:r>
              <w:rPr>
                <w:rFonts w:ascii="Arial" w:hAnsi="Arial" w:cs="Arial"/>
                <w:color w:val="575757"/>
                <w:sz w:val="19"/>
              </w:rPr>
              <w:t>بعد ذيل علوي واضح ثم شمعة تأكيد هابطة.</w:t>
            </w:r>
          </w:p>
        </w:tc>
      </w:tr>
      <w:tr>
        <w:tc>
          <w:tcPr>
            <w:tcW w:type="dxa" w:w="2304"/>
            <w:textDirection w:val="rlTb"/>
            <w:vAlign w:val="top"/>
          </w:tcPr>
          <w:p>
            <w:pPr>
              <w:bidi w:val="1"/>
              <w:jc w:val="right"/>
            </w:pPr>
            <w:r>
              <w:rPr>
                <w:rFonts w:ascii="Arial" w:hAnsi="Arial" w:cs="Arial"/>
                <w:color w:val="575757"/>
                <w:sz w:val="19"/>
              </w:rPr>
              <w:t>وقف الخسارة</w:t>
            </w:r>
          </w:p>
        </w:tc>
        <w:tc>
          <w:tcPr>
            <w:tcW w:type="dxa" w:w="4176"/>
            <w:textDirection w:val="rlTb"/>
            <w:vAlign w:val="top"/>
          </w:tcPr>
          <w:p>
            <w:pPr>
              <w:bidi w:val="1"/>
              <w:jc w:val="right"/>
            </w:pPr>
            <w:r>
              <w:rPr>
                <w:rFonts w:ascii="Arial" w:hAnsi="Arial" w:cs="Arial"/>
                <w:color w:val="575757"/>
                <w:sz w:val="19"/>
              </w:rPr>
              <w:t>أسفل أقل سعر لشمعة الرفض.</w:t>
            </w:r>
          </w:p>
        </w:tc>
        <w:tc>
          <w:tcPr>
            <w:tcW w:type="dxa" w:w="4176"/>
            <w:textDirection w:val="rlTb"/>
            <w:vAlign w:val="top"/>
          </w:tcPr>
          <w:p>
            <w:pPr>
              <w:bidi w:val="1"/>
              <w:jc w:val="right"/>
            </w:pPr>
            <w:r>
              <w:rPr>
                <w:rFonts w:ascii="Arial" w:hAnsi="Arial" w:cs="Arial"/>
                <w:color w:val="575757"/>
                <w:sz w:val="19"/>
              </w:rPr>
              <w:t>أعلى أعلى سعر لشمعة الرفض.</w:t>
            </w:r>
          </w:p>
        </w:tc>
      </w:tr>
      <w:tr>
        <w:tc>
          <w:tcPr>
            <w:tcW w:type="dxa" w:w="2304"/>
            <w:textDirection w:val="rlTb"/>
            <w:vAlign w:val="top"/>
          </w:tcPr>
          <w:p>
            <w:pPr>
              <w:bidi w:val="1"/>
              <w:jc w:val="right"/>
            </w:pPr>
            <w:r>
              <w:rPr>
                <w:rFonts w:ascii="Arial" w:hAnsi="Arial" w:cs="Arial"/>
                <w:color w:val="575757"/>
                <w:sz w:val="19"/>
              </w:rPr>
              <w:t>الهدف المحافظ</w:t>
            </w:r>
          </w:p>
        </w:tc>
        <w:tc>
          <w:tcPr>
            <w:tcW w:type="dxa" w:w="4176"/>
            <w:textDirection w:val="rlTb"/>
            <w:vAlign w:val="top"/>
          </w:tcPr>
          <w:p>
            <w:pPr>
              <w:bidi w:val="1"/>
              <w:jc w:val="right"/>
            </w:pPr>
            <w:r>
              <w:rPr>
                <w:rFonts w:ascii="Arial" w:hAnsi="Arial" w:cs="Arial"/>
                <w:color w:val="575757"/>
                <w:sz w:val="19"/>
              </w:rPr>
              <w:t>منتصف الصندوق أو الطرف المقابل للصندوق الصغير.</w:t>
            </w:r>
          </w:p>
        </w:tc>
        <w:tc>
          <w:tcPr>
            <w:tcW w:type="dxa" w:w="4176"/>
            <w:textDirection w:val="rlTb"/>
            <w:vAlign w:val="top"/>
          </w:tcPr>
          <w:p>
            <w:pPr>
              <w:bidi w:val="1"/>
              <w:jc w:val="right"/>
            </w:pPr>
            <w:r>
              <w:rPr>
                <w:rFonts w:ascii="Arial" w:hAnsi="Arial" w:cs="Arial"/>
                <w:color w:val="575757"/>
                <w:sz w:val="19"/>
              </w:rPr>
              <w:t>منتصف الصندوق أو الطرف المقابل للصندوق الصغير.</w:t>
            </w:r>
          </w:p>
        </w:tc>
      </w:tr>
      <w:tr>
        <w:tc>
          <w:tcPr>
            <w:tcW w:type="dxa" w:w="2304"/>
            <w:textDirection w:val="rlTb"/>
            <w:vAlign w:val="top"/>
          </w:tcPr>
          <w:p>
            <w:pPr>
              <w:bidi w:val="1"/>
              <w:jc w:val="right"/>
            </w:pPr>
            <w:r>
              <w:rPr>
                <w:rFonts w:ascii="Arial" w:hAnsi="Arial" w:cs="Arial"/>
                <w:color w:val="575757"/>
                <w:sz w:val="19"/>
              </w:rPr>
              <w:t>الهدف الأقوى</w:t>
            </w:r>
          </w:p>
        </w:tc>
        <w:tc>
          <w:tcPr>
            <w:tcW w:type="dxa" w:w="4176"/>
            <w:textDirection w:val="rlTb"/>
            <w:vAlign w:val="top"/>
          </w:tcPr>
          <w:p>
            <w:pPr>
              <w:bidi w:val="1"/>
              <w:jc w:val="right"/>
            </w:pPr>
            <w:r>
              <w:rPr>
                <w:rFonts w:ascii="Arial" w:hAnsi="Arial" w:cs="Arial"/>
                <w:color w:val="575757"/>
                <w:sz w:val="19"/>
              </w:rPr>
              <w:t>أعلى الصندوق الكبير أو منطقة بائع اليوم السابق.</w:t>
            </w:r>
          </w:p>
        </w:tc>
        <w:tc>
          <w:tcPr>
            <w:tcW w:type="dxa" w:w="4176"/>
            <w:textDirection w:val="rlTb"/>
            <w:vAlign w:val="top"/>
          </w:tcPr>
          <w:p>
            <w:pPr>
              <w:bidi w:val="1"/>
              <w:jc w:val="right"/>
            </w:pPr>
            <w:r>
              <w:rPr>
                <w:rFonts w:ascii="Arial" w:hAnsi="Arial" w:cs="Arial"/>
                <w:color w:val="575757"/>
                <w:sz w:val="19"/>
              </w:rPr>
              <w:t>أسفل الصندوق الكبير أو منطقة مشتري اليوم السابق.</w:t>
            </w:r>
          </w:p>
        </w:tc>
      </w:tr>
      <w:tr>
        <w:tc>
          <w:tcPr>
            <w:tcW w:type="dxa" w:w="2304"/>
            <w:textDirection w:val="rlTb"/>
            <w:vAlign w:val="top"/>
          </w:tcPr>
          <w:p>
            <w:pPr>
              <w:bidi w:val="1"/>
              <w:jc w:val="right"/>
            </w:pPr>
            <w:r>
              <w:rPr>
                <w:rFonts w:ascii="Arial" w:hAnsi="Arial" w:cs="Arial"/>
                <w:color w:val="575757"/>
                <w:sz w:val="19"/>
              </w:rPr>
              <w:t>إدارة الصفقة</w:t>
            </w:r>
          </w:p>
        </w:tc>
        <w:tc>
          <w:tcPr>
            <w:tcW w:type="dxa" w:w="4176"/>
            <w:textDirection w:val="rlTb"/>
            <w:vAlign w:val="top"/>
          </w:tcPr>
          <w:p>
            <w:pPr>
              <w:bidi w:val="1"/>
              <w:jc w:val="right"/>
            </w:pPr>
            <w:r>
              <w:rPr>
                <w:rFonts w:ascii="Arial" w:hAnsi="Arial" w:cs="Arial"/>
                <w:color w:val="575757"/>
                <w:sz w:val="19"/>
              </w:rPr>
              <w:t>عند الوصول لربح جيد، يمكن نقل الوقف إلى الدخول.</w:t>
            </w:r>
          </w:p>
        </w:tc>
        <w:tc>
          <w:tcPr>
            <w:tcW w:type="dxa" w:w="4176"/>
            <w:textDirection w:val="rlTb"/>
            <w:vAlign w:val="top"/>
          </w:tcPr>
          <w:p>
            <w:pPr>
              <w:bidi w:val="1"/>
              <w:jc w:val="right"/>
            </w:pPr>
            <w:r>
              <w:rPr>
                <w:rFonts w:ascii="Arial" w:hAnsi="Arial" w:cs="Arial"/>
                <w:color w:val="575757"/>
                <w:sz w:val="19"/>
              </w:rPr>
              <w:t>عند الوصول لربح جيد، يمكن نقل الوقف إلى الدخول.</w:t>
            </w:r>
          </w:p>
        </w:tc>
      </w:tr>
    </w:tbl>
    <w:p>
      <w:pPr>
        <w:bidi w:val="1"/>
        <w:spacing w:after="60" w:line="276" w:lineRule="auto"/>
        <w:jc w:val="right"/>
      </w:pPr>
    </w:p>
    <w:p>
      <w:pPr>
        <w:bidi w:val="1"/>
        <w:spacing w:before="200" w:after="100"/>
        <w:jc w:val="right"/>
      </w:pPr>
      <w:r>
        <w:rPr>
          <w:rFonts w:ascii="Arial" w:hAnsi="Arial" w:cs="Arial"/>
          <w:b/>
          <w:color w:val="183C69"/>
          <w:sz w:val="36"/>
        </w:rPr>
        <w:t>12. ممنوعات الاستراتيجية</w:t>
      </w:r>
    </w:p>
    <w:p>
      <w:pPr>
        <w:bidi w:val="1"/>
        <w:spacing w:after="60"/>
        <w:ind w:left="0" w:right="360" w:hanging="240"/>
        <w:jc w:val="right"/>
      </w:pPr>
      <w:r>
        <w:rPr>
          <w:rFonts w:ascii="Arial" w:hAnsi="Arial" w:cs="Arial"/>
          <w:color w:val="575757"/>
          <w:sz w:val="21"/>
        </w:rPr>
        <w:t>• ممنوع الشراء فقط لأن أول شمعة قوية صعدت عند الافتتاح قرب أعلى الصندوق.</w:t>
      </w:r>
    </w:p>
    <w:p>
      <w:pPr>
        <w:bidi w:val="1"/>
        <w:spacing w:after="60"/>
        <w:ind w:left="0" w:right="360" w:hanging="240"/>
        <w:jc w:val="right"/>
      </w:pPr>
      <w:r>
        <w:rPr>
          <w:rFonts w:ascii="Arial" w:hAnsi="Arial" w:cs="Arial"/>
          <w:color w:val="575757"/>
          <w:sz w:val="21"/>
        </w:rPr>
        <w:t>• ممنوع البيع فقط لأن أول شمعة قوية هبطت عند الافتتاح قرب أسفل الصندوق.</w:t>
      </w:r>
    </w:p>
    <w:p>
      <w:pPr>
        <w:bidi w:val="1"/>
        <w:spacing w:after="60"/>
        <w:ind w:left="0" w:right="360" w:hanging="240"/>
        <w:jc w:val="right"/>
      </w:pPr>
      <w:r>
        <w:rPr>
          <w:rFonts w:ascii="Arial" w:hAnsi="Arial" w:cs="Arial"/>
          <w:color w:val="575757"/>
          <w:sz w:val="21"/>
        </w:rPr>
        <w:t>• ممنوع التداول من منتصف الصندوق بدون سبب واضح أو نموذج تأكيد قوي.</w:t>
      </w:r>
    </w:p>
    <w:p>
      <w:pPr>
        <w:bidi w:val="1"/>
        <w:spacing w:after="60"/>
        <w:ind w:left="0" w:right="360" w:hanging="240"/>
        <w:jc w:val="right"/>
      </w:pPr>
      <w:r>
        <w:rPr>
          <w:rFonts w:ascii="Arial" w:hAnsi="Arial" w:cs="Arial"/>
          <w:color w:val="575757"/>
          <w:sz w:val="21"/>
        </w:rPr>
        <w:t>• ممنوع الدخول بدون شمعة رفض وبدون شمعة تأكيد بعدها.</w:t>
      </w:r>
    </w:p>
    <w:p>
      <w:pPr>
        <w:bidi w:val="1"/>
        <w:spacing w:after="60"/>
        <w:ind w:left="0" w:right="360" w:hanging="240"/>
        <w:jc w:val="right"/>
      </w:pPr>
      <w:r>
        <w:rPr>
          <w:rFonts w:ascii="Arial" w:hAnsi="Arial" w:cs="Arial"/>
          <w:color w:val="575757"/>
          <w:sz w:val="21"/>
        </w:rPr>
        <w:t>• ممنوع ملاحقة الكسر بعد خروجه من الصندوق الصغير إذا كان يتجه مباشرة إلى طرف الصندوق الكبير.</w:t>
      </w:r>
    </w:p>
    <w:p>
      <w:pPr>
        <w:bidi w:val="1"/>
        <w:spacing w:before="200" w:after="100"/>
        <w:jc w:val="right"/>
      </w:pPr>
      <w:r>
        <w:rPr>
          <w:rFonts w:ascii="Arial" w:hAnsi="Arial" w:cs="Arial"/>
          <w:b/>
          <w:color w:val="183C69"/>
          <w:sz w:val="36"/>
        </w:rPr>
        <w:t>13. قائمة تحقق قبل الدخول</w:t>
      </w:r>
    </w:p>
    <w:tbl>
      <w:tblPr>
        <w:tblStyle w:val="TableGrid"/>
        <w:tblW w:type="auto" w:w="0"/>
        <w:jc w:val="center"/>
        <w:tblLook w:firstColumn="1" w:firstRow="1" w:lastColumn="0" w:lastRow="0" w:noHBand="0" w:noVBand="1" w:val="04A0"/>
      </w:tblPr>
      <w:tblGrid>
        <w:gridCol w:w="5328"/>
        <w:gridCol w:w="5328"/>
      </w:tblGrid>
      <w:tr>
        <w:tc>
          <w:tcPr>
            <w:tcW w:type="dxa" w:w="7776"/>
            <w:shd w:fill="183C69"/>
            <w:textDirection w:val="rlTb"/>
            <w:vAlign w:val="center"/>
          </w:tcPr>
          <w:p>
            <w:pPr>
              <w:bidi w:val="1"/>
              <w:jc w:val="center"/>
            </w:pPr>
            <w:r>
              <w:rPr>
                <w:rFonts w:ascii="Arial" w:hAnsi="Arial" w:cs="Arial"/>
                <w:b/>
                <w:color w:val="FFFFFF"/>
                <w:sz w:val="20"/>
              </w:rPr>
              <w:t>السؤال</w:t>
            </w:r>
          </w:p>
        </w:tc>
        <w:tc>
          <w:tcPr>
            <w:tcW w:type="dxa" w:w="1728"/>
            <w:shd w:fill="183C69"/>
            <w:textDirection w:val="rlTb"/>
            <w:vAlign w:val="center"/>
          </w:tcPr>
          <w:p>
            <w:pPr>
              <w:bidi w:val="1"/>
              <w:jc w:val="center"/>
            </w:pPr>
            <w:r>
              <w:rPr>
                <w:rFonts w:ascii="Arial" w:hAnsi="Arial" w:cs="Arial"/>
                <w:b/>
                <w:color w:val="FFFFFF"/>
                <w:sz w:val="20"/>
              </w:rPr>
              <w:t>نعم / لا</w:t>
            </w:r>
          </w:p>
        </w:tc>
      </w:tr>
      <w:tr>
        <w:tc>
          <w:tcPr>
            <w:tcW w:type="dxa" w:w="7776"/>
            <w:textDirection w:val="rlTb"/>
            <w:vAlign w:val="top"/>
          </w:tcPr>
          <w:p>
            <w:pPr>
              <w:bidi w:val="1"/>
              <w:jc w:val="right"/>
            </w:pPr>
            <w:r>
              <w:rPr>
                <w:rFonts w:ascii="Arial" w:hAnsi="Arial" w:cs="Arial"/>
                <w:color w:val="575757"/>
                <w:sz w:val="19"/>
              </w:rPr>
              <w:t>هل رسمت الصندوق الكبير من قمة وقاع اليوم السابق؟</w:t>
            </w:r>
          </w:p>
        </w:tc>
        <w:tc>
          <w:tcPr>
            <w:tcW w:type="dxa" w:w="1728"/>
            <w:textDirection w:val="rlTb"/>
            <w:vAlign w:val="top"/>
          </w:tcPr>
          <w:p>
            <w:pPr>
              <w:bidi w:val="1"/>
              <w:jc w:val="right"/>
            </w:pPr>
            <w:r>
              <w:rPr>
                <w:rFonts w:ascii="Arial" w:hAnsi="Arial" w:cs="Arial"/>
                <w:color w:val="575757"/>
                <w:sz w:val="19"/>
              </w:rPr>
            </w:r>
          </w:p>
        </w:tc>
      </w:tr>
      <w:tr>
        <w:tc>
          <w:tcPr>
            <w:tcW w:type="dxa" w:w="7776"/>
            <w:textDirection w:val="rlTb"/>
            <w:vAlign w:val="top"/>
          </w:tcPr>
          <w:p>
            <w:pPr>
              <w:bidi w:val="1"/>
              <w:jc w:val="right"/>
            </w:pPr>
            <w:r>
              <w:rPr>
                <w:rFonts w:ascii="Arial" w:hAnsi="Arial" w:cs="Arial"/>
                <w:color w:val="575757"/>
                <w:sz w:val="19"/>
              </w:rPr>
              <w:t>هل رسمت خط منتصف الصندوق الكبير؟</w:t>
            </w:r>
          </w:p>
        </w:tc>
        <w:tc>
          <w:tcPr>
            <w:tcW w:type="dxa" w:w="1728"/>
            <w:textDirection w:val="rlTb"/>
            <w:vAlign w:val="top"/>
          </w:tcPr>
          <w:p>
            <w:pPr>
              <w:bidi w:val="1"/>
              <w:jc w:val="right"/>
            </w:pPr>
            <w:r>
              <w:rPr>
                <w:rFonts w:ascii="Arial" w:hAnsi="Arial" w:cs="Arial"/>
                <w:color w:val="575757"/>
                <w:sz w:val="19"/>
              </w:rPr>
            </w:r>
          </w:p>
        </w:tc>
      </w:tr>
      <w:tr>
        <w:tc>
          <w:tcPr>
            <w:tcW w:type="dxa" w:w="7776"/>
            <w:textDirection w:val="rlTb"/>
            <w:vAlign w:val="top"/>
          </w:tcPr>
          <w:p>
            <w:pPr>
              <w:bidi w:val="1"/>
              <w:jc w:val="right"/>
            </w:pPr>
            <w:r>
              <w:rPr>
                <w:rFonts w:ascii="Arial" w:hAnsi="Arial" w:cs="Arial"/>
                <w:color w:val="575757"/>
                <w:sz w:val="19"/>
              </w:rPr>
              <w:t>هل رسمت الصندوق الصغير من نطاق ما قبل/بعد السوق؟</w:t>
            </w:r>
          </w:p>
        </w:tc>
        <w:tc>
          <w:tcPr>
            <w:tcW w:type="dxa" w:w="1728"/>
            <w:textDirection w:val="rlTb"/>
            <w:vAlign w:val="top"/>
          </w:tcPr>
          <w:p>
            <w:pPr>
              <w:bidi w:val="1"/>
              <w:jc w:val="right"/>
            </w:pPr>
            <w:r>
              <w:rPr>
                <w:rFonts w:ascii="Arial" w:hAnsi="Arial" w:cs="Arial"/>
                <w:color w:val="575757"/>
                <w:sz w:val="19"/>
              </w:rPr>
            </w:r>
          </w:p>
        </w:tc>
      </w:tr>
      <w:tr>
        <w:tc>
          <w:tcPr>
            <w:tcW w:type="dxa" w:w="7776"/>
            <w:textDirection w:val="rlTb"/>
            <w:vAlign w:val="top"/>
          </w:tcPr>
          <w:p>
            <w:pPr>
              <w:bidi w:val="1"/>
              <w:jc w:val="right"/>
            </w:pPr>
            <w:r>
              <w:rPr>
                <w:rFonts w:ascii="Arial" w:hAnsi="Arial" w:cs="Arial"/>
                <w:color w:val="575757"/>
                <w:sz w:val="19"/>
              </w:rPr>
              <w:t>هل السعر عند أعلى أو أسفل الصندوق وليس في المنتصف؟</w:t>
            </w:r>
          </w:p>
        </w:tc>
        <w:tc>
          <w:tcPr>
            <w:tcW w:type="dxa" w:w="1728"/>
            <w:textDirection w:val="rlTb"/>
            <w:vAlign w:val="top"/>
          </w:tcPr>
          <w:p>
            <w:pPr>
              <w:bidi w:val="1"/>
              <w:jc w:val="right"/>
            </w:pPr>
            <w:r>
              <w:rPr>
                <w:rFonts w:ascii="Arial" w:hAnsi="Arial" w:cs="Arial"/>
                <w:color w:val="575757"/>
                <w:sz w:val="19"/>
              </w:rPr>
            </w:r>
          </w:p>
        </w:tc>
      </w:tr>
      <w:tr>
        <w:tc>
          <w:tcPr>
            <w:tcW w:type="dxa" w:w="7776"/>
            <w:textDirection w:val="rlTb"/>
            <w:vAlign w:val="top"/>
          </w:tcPr>
          <w:p>
            <w:pPr>
              <w:bidi w:val="1"/>
              <w:jc w:val="right"/>
            </w:pPr>
            <w:r>
              <w:rPr>
                <w:rFonts w:ascii="Arial" w:hAnsi="Arial" w:cs="Arial"/>
                <w:color w:val="575757"/>
                <w:sz w:val="19"/>
              </w:rPr>
              <w:t>هل حصل سحب سيولة أو اختبار واضح للطرف؟</w:t>
            </w:r>
          </w:p>
        </w:tc>
        <w:tc>
          <w:tcPr>
            <w:tcW w:type="dxa" w:w="1728"/>
            <w:textDirection w:val="rlTb"/>
            <w:vAlign w:val="top"/>
          </w:tcPr>
          <w:p>
            <w:pPr>
              <w:bidi w:val="1"/>
              <w:jc w:val="right"/>
            </w:pPr>
            <w:r>
              <w:rPr>
                <w:rFonts w:ascii="Arial" w:hAnsi="Arial" w:cs="Arial"/>
                <w:color w:val="575757"/>
                <w:sz w:val="19"/>
              </w:rPr>
            </w:r>
          </w:p>
        </w:tc>
      </w:tr>
      <w:tr>
        <w:tc>
          <w:tcPr>
            <w:tcW w:type="dxa" w:w="7776"/>
            <w:textDirection w:val="rlTb"/>
            <w:vAlign w:val="top"/>
          </w:tcPr>
          <w:p>
            <w:pPr>
              <w:bidi w:val="1"/>
              <w:jc w:val="right"/>
            </w:pPr>
            <w:r>
              <w:rPr>
                <w:rFonts w:ascii="Arial" w:hAnsi="Arial" w:cs="Arial"/>
                <w:color w:val="575757"/>
                <w:sz w:val="19"/>
              </w:rPr>
              <w:t>هل ظهرت شمعة بذيل رفض واضح؟</w:t>
            </w:r>
          </w:p>
        </w:tc>
        <w:tc>
          <w:tcPr>
            <w:tcW w:type="dxa" w:w="1728"/>
            <w:textDirection w:val="rlTb"/>
            <w:vAlign w:val="top"/>
          </w:tcPr>
          <w:p>
            <w:pPr>
              <w:bidi w:val="1"/>
              <w:jc w:val="right"/>
            </w:pPr>
            <w:r>
              <w:rPr>
                <w:rFonts w:ascii="Arial" w:hAnsi="Arial" w:cs="Arial"/>
                <w:color w:val="575757"/>
                <w:sz w:val="19"/>
              </w:rPr>
            </w:r>
          </w:p>
        </w:tc>
      </w:tr>
      <w:tr>
        <w:tc>
          <w:tcPr>
            <w:tcW w:type="dxa" w:w="7776"/>
            <w:textDirection w:val="rlTb"/>
            <w:vAlign w:val="top"/>
          </w:tcPr>
          <w:p>
            <w:pPr>
              <w:bidi w:val="1"/>
              <w:jc w:val="right"/>
            </w:pPr>
            <w:r>
              <w:rPr>
                <w:rFonts w:ascii="Arial" w:hAnsi="Arial" w:cs="Arial"/>
                <w:color w:val="575757"/>
                <w:sz w:val="19"/>
              </w:rPr>
              <w:t>هل جاءت شمعة تأكيد بعدها في اتجاه الصفقة؟</w:t>
            </w:r>
          </w:p>
        </w:tc>
        <w:tc>
          <w:tcPr>
            <w:tcW w:type="dxa" w:w="1728"/>
            <w:textDirection w:val="rlTb"/>
            <w:vAlign w:val="top"/>
          </w:tcPr>
          <w:p>
            <w:pPr>
              <w:bidi w:val="1"/>
              <w:jc w:val="right"/>
            </w:pPr>
            <w:r>
              <w:rPr>
                <w:rFonts w:ascii="Arial" w:hAnsi="Arial" w:cs="Arial"/>
                <w:color w:val="575757"/>
                <w:sz w:val="19"/>
              </w:rPr>
            </w:r>
          </w:p>
        </w:tc>
      </w:tr>
      <w:tr>
        <w:tc>
          <w:tcPr>
            <w:tcW w:type="dxa" w:w="7776"/>
            <w:textDirection w:val="rlTb"/>
            <w:vAlign w:val="top"/>
          </w:tcPr>
          <w:p>
            <w:pPr>
              <w:bidi w:val="1"/>
              <w:jc w:val="right"/>
            </w:pPr>
            <w:r>
              <w:rPr>
                <w:rFonts w:ascii="Arial" w:hAnsi="Arial" w:cs="Arial"/>
                <w:color w:val="575757"/>
                <w:sz w:val="19"/>
              </w:rPr>
              <w:t>هل وقف الخسارة واضح وصغير مقارنة بالهدف؟</w:t>
            </w:r>
          </w:p>
        </w:tc>
        <w:tc>
          <w:tcPr>
            <w:tcW w:type="dxa" w:w="1728"/>
            <w:textDirection w:val="rlTb"/>
            <w:vAlign w:val="top"/>
          </w:tcPr>
          <w:p>
            <w:pPr>
              <w:bidi w:val="1"/>
              <w:jc w:val="right"/>
            </w:pPr>
            <w:r>
              <w:rPr>
                <w:rFonts w:ascii="Arial" w:hAnsi="Arial" w:cs="Arial"/>
                <w:color w:val="575757"/>
                <w:sz w:val="19"/>
              </w:rPr>
            </w:r>
          </w:p>
        </w:tc>
      </w:tr>
      <w:tr>
        <w:tc>
          <w:tcPr>
            <w:tcW w:type="dxa" w:w="7776"/>
            <w:textDirection w:val="rlTb"/>
            <w:vAlign w:val="top"/>
          </w:tcPr>
          <w:p>
            <w:pPr>
              <w:bidi w:val="1"/>
              <w:jc w:val="right"/>
            </w:pPr>
            <w:r>
              <w:rPr>
                <w:rFonts w:ascii="Arial" w:hAnsi="Arial" w:cs="Arial"/>
                <w:color w:val="575757"/>
                <w:sz w:val="19"/>
              </w:rPr>
              <w:t>هل الهدف منطقي: منتصف الصندوق أو الطرف المقابل؟</w:t>
            </w:r>
          </w:p>
        </w:tc>
        <w:tc>
          <w:tcPr>
            <w:tcW w:type="dxa" w:w="1728"/>
            <w:textDirection w:val="rlTb"/>
            <w:vAlign w:val="top"/>
          </w:tcPr>
          <w:p>
            <w:pPr>
              <w:bidi w:val="1"/>
              <w:jc w:val="right"/>
            </w:pPr>
            <w:r>
              <w:rPr>
                <w:rFonts w:ascii="Arial" w:hAnsi="Arial" w:cs="Arial"/>
                <w:color w:val="575757"/>
                <w:sz w:val="19"/>
              </w:rPr>
            </w:r>
          </w:p>
        </w:tc>
      </w:tr>
    </w:tbl>
    <w:p>
      <w:pPr>
        <w:bidi w:val="1"/>
        <w:spacing w:after="60" w:line="276" w:lineRule="auto"/>
        <w:jc w:val="right"/>
      </w:pPr>
    </w:p>
    <w:p>
      <w:pPr>
        <w:bidi w:val="1"/>
        <w:spacing w:before="200" w:after="100"/>
        <w:jc w:val="right"/>
      </w:pPr>
      <w:r>
        <w:rPr>
          <w:rFonts w:ascii="Arial" w:hAnsi="Arial" w:cs="Arial"/>
          <w:b/>
          <w:color w:val="183C69"/>
          <w:sz w:val="36"/>
        </w:rPr>
        <w:t>14. النسخة البرمجية المختصرة</w:t>
      </w:r>
    </w:p>
    <w:p>
      <w:pPr>
        <w:bidi w:val="1"/>
        <w:spacing w:after="120" w:line="276" w:lineRule="auto"/>
        <w:jc w:val="right"/>
      </w:pPr>
      <w:r>
        <w:rPr>
          <w:rFonts w:ascii="Arial" w:hAnsi="Arial" w:cs="Arial"/>
          <w:b w:val="0"/>
          <w:color w:val="575757"/>
          <w:sz w:val="22"/>
        </w:rPr>
        <w:t>هذه الصيغة تساعد في تحويل الاستراتيجية لاحقًا إلى مؤشر أو EA، مع فصل المحركات الشرائية والبيعية.</w:t>
      </w:r>
    </w:p>
    <w:tbl>
      <w:tblPr>
        <w:tblW w:type="auto" w:w="0"/>
        <w:jc w:val="center"/>
        <w:tblLook w:firstColumn="1" w:firstRow="1" w:lastColumn="0" w:lastRow="0" w:noHBand="0" w:noVBand="1" w:val="04A0"/>
      </w:tblPr>
      <w:tblGrid>
        <w:gridCol w:w="10656"/>
      </w:tblGrid>
      <w:tr>
        <w:tc>
          <w:tcPr>
            <w:tcW w:type="dxa" w:w="10656"/>
            <w:shd w:fill="F3F6F8"/>
            <w:vAlign w:val="center"/>
          </w:tcPr>
          <w:p>
            <w:pPr>
              <w:bidi w:val="1"/>
              <w:jc w:val="right"/>
            </w:pPr>
            <w:r>
              <w:rPr>
                <w:rFonts w:ascii="Consolas" w:hAnsi="Consolas" w:cs="Consolas"/>
                <w:color w:val="333333"/>
                <w:sz w:val="19"/>
              </w:rPr>
              <w:t>Variables:</w:t>
            </w:r>
            <w:r>
              <w:br/>
            </w:r>
            <w:r>
              <w:rPr>
                <w:rFonts w:ascii="Consolas" w:hAnsi="Consolas" w:cs="Consolas"/>
                <w:color w:val="333333"/>
                <w:sz w:val="19"/>
              </w:rPr>
              <w:t>PreviousDayHigh, PreviousDayLow, PreviousDayMid</w:t>
            </w:r>
            <w:r>
              <w:br/>
            </w:r>
            <w:r>
              <w:rPr>
                <w:rFonts w:ascii="Consolas" w:hAnsi="Consolas" w:cs="Consolas"/>
                <w:color w:val="333333"/>
                <w:sz w:val="19"/>
              </w:rPr>
              <w:t>SmallBoxHigh, SmallBoxLow</w:t>
            </w:r>
            <w:r>
              <w:br/>
            </w:r>
            <w:r>
              <w:rPr>
                <w:rFonts w:ascii="Consolas" w:hAnsi="Consolas" w:cs="Consolas"/>
                <w:color w:val="333333"/>
                <w:sz w:val="19"/>
              </w:rPr>
              <w:t>CurrentPriceLocation: TOP / BOTTOM / MIDDLE</w:t>
            </w:r>
            <w:r>
              <w:br/>
            </w:r>
            <w:r>
              <w:rPr>
                <w:rFonts w:ascii="Consolas" w:hAnsi="Consolas" w:cs="Consolas"/>
                <w:color w:val="333333"/>
                <w:sz w:val="19"/>
              </w:rPr>
              <w:t>HasLiquiditySweep</w:t>
            </w:r>
            <w:r>
              <w:br/>
            </w:r>
            <w:r>
              <w:rPr>
                <w:rFonts w:ascii="Consolas" w:hAnsi="Consolas" w:cs="Consolas"/>
                <w:color w:val="333333"/>
                <w:sz w:val="19"/>
              </w:rPr>
              <w:t>HasRejectionWick</w:t>
            </w:r>
            <w:r>
              <w:br/>
            </w:r>
            <w:r>
              <w:rPr>
                <w:rFonts w:ascii="Consolas" w:hAnsi="Consolas" w:cs="Consolas"/>
                <w:color w:val="333333"/>
                <w:sz w:val="19"/>
              </w:rPr>
              <w:t>HasConfirmationCandle</w:t>
            </w:r>
            <w:r>
              <w:br/>
            </w:r>
            <w:r>
              <w:rPr>
                <w:rFonts w:ascii="Consolas" w:hAnsi="Consolas" w:cs="Consolas"/>
                <w:color w:val="333333"/>
                <w:sz w:val="19"/>
              </w:rPr>
              <w:t>EntryDirection: BUY / SELL / NONE</w:t>
            </w:r>
          </w:p>
        </w:tc>
      </w:tr>
    </w:tbl>
    <w:p>
      <w:pPr>
        <w:bidi w:val="1"/>
        <w:spacing w:after="40" w:line="276" w:lineRule="auto"/>
        <w:jc w:val="right"/>
      </w:pPr>
    </w:p>
    <w:tbl>
      <w:tblPr>
        <w:tblW w:type="auto" w:w="0"/>
        <w:jc w:val="center"/>
        <w:tblLook w:firstColumn="1" w:firstRow="1" w:lastColumn="0" w:lastRow="0" w:noHBand="0" w:noVBand="1" w:val="04A0"/>
      </w:tblPr>
      <w:tblGrid>
        <w:gridCol w:w="10656"/>
      </w:tblGrid>
      <w:tr>
        <w:tc>
          <w:tcPr>
            <w:tcW w:type="dxa" w:w="10656"/>
            <w:shd w:fill="F3F6F8"/>
            <w:vAlign w:val="center"/>
          </w:tcPr>
          <w:p>
            <w:pPr>
              <w:bidi w:val="1"/>
              <w:jc w:val="right"/>
            </w:pPr>
            <w:r>
              <w:rPr>
                <w:rFonts w:ascii="Consolas" w:hAnsi="Consolas" w:cs="Consolas"/>
                <w:color w:val="333333"/>
                <w:sz w:val="19"/>
              </w:rPr>
              <w:t>Buy Engine:</w:t>
            </w:r>
            <w:r>
              <w:br/>
            </w:r>
            <w:r>
              <w:rPr>
                <w:rFonts w:ascii="Consolas" w:hAnsi="Consolas" w:cs="Consolas"/>
                <w:color w:val="333333"/>
                <w:sz w:val="19"/>
              </w:rPr>
              <w:t>IF price is near PreviousDayLow</w:t>
            </w:r>
            <w:r>
              <w:br/>
            </w:r>
            <w:r>
              <w:rPr>
                <w:rFonts w:ascii="Consolas" w:hAnsi="Consolas" w:cs="Consolas"/>
                <w:color w:val="333333"/>
                <w:sz w:val="19"/>
              </w:rPr>
              <w:t>OR price sweeps SmallBoxLow and rejects near buyer zone</w:t>
            </w:r>
            <w:r>
              <w:br/>
            </w:r>
            <w:r>
              <w:rPr>
                <w:rFonts w:ascii="Consolas" w:hAnsi="Consolas" w:cs="Consolas"/>
                <w:color w:val="333333"/>
                <w:sz w:val="19"/>
              </w:rPr>
              <w:t>AND HasRejectionWick = true</w:t>
            </w:r>
            <w:r>
              <w:br/>
            </w:r>
            <w:r>
              <w:rPr>
                <w:rFonts w:ascii="Consolas" w:hAnsi="Consolas" w:cs="Consolas"/>
                <w:color w:val="333333"/>
                <w:sz w:val="19"/>
              </w:rPr>
              <w:t>AND next candle is bullish</w:t>
            </w:r>
            <w:r>
              <w:br/>
            </w:r>
            <w:r>
              <w:rPr>
                <w:rFonts w:ascii="Consolas" w:hAnsi="Consolas" w:cs="Consolas"/>
                <w:color w:val="333333"/>
                <w:sz w:val="19"/>
              </w:rPr>
              <w:t>THEN Buy</w:t>
            </w:r>
          </w:p>
        </w:tc>
      </w:tr>
    </w:tbl>
    <w:p>
      <w:pPr>
        <w:bidi w:val="1"/>
        <w:spacing w:after="40" w:line="276" w:lineRule="auto"/>
        <w:jc w:val="right"/>
      </w:pPr>
    </w:p>
    <w:tbl>
      <w:tblPr>
        <w:tblW w:type="auto" w:w="0"/>
        <w:jc w:val="center"/>
        <w:tblLook w:firstColumn="1" w:firstRow="1" w:lastColumn="0" w:lastRow="0" w:noHBand="0" w:noVBand="1" w:val="04A0"/>
      </w:tblPr>
      <w:tblGrid>
        <w:gridCol w:w="10656"/>
      </w:tblGrid>
      <w:tr>
        <w:tc>
          <w:tcPr>
            <w:tcW w:type="dxa" w:w="10656"/>
            <w:shd w:fill="F3F6F8"/>
            <w:vAlign w:val="center"/>
          </w:tcPr>
          <w:p>
            <w:pPr>
              <w:bidi w:val="1"/>
              <w:jc w:val="right"/>
            </w:pPr>
            <w:r>
              <w:rPr>
                <w:rFonts w:ascii="Consolas" w:hAnsi="Consolas" w:cs="Consolas"/>
                <w:color w:val="333333"/>
                <w:sz w:val="19"/>
              </w:rPr>
              <w:t>Sell Engine:</w:t>
            </w:r>
            <w:r>
              <w:br/>
            </w:r>
            <w:r>
              <w:rPr>
                <w:rFonts w:ascii="Consolas" w:hAnsi="Consolas" w:cs="Consolas"/>
                <w:color w:val="333333"/>
                <w:sz w:val="19"/>
              </w:rPr>
              <w:t>IF price is near PreviousDayHigh</w:t>
            </w:r>
            <w:r>
              <w:br/>
            </w:r>
            <w:r>
              <w:rPr>
                <w:rFonts w:ascii="Consolas" w:hAnsi="Consolas" w:cs="Consolas"/>
                <w:color w:val="333333"/>
                <w:sz w:val="19"/>
              </w:rPr>
              <w:t>OR price sweeps SmallBoxHigh and rejects near seller zone</w:t>
            </w:r>
            <w:r>
              <w:br/>
            </w:r>
            <w:r>
              <w:rPr>
                <w:rFonts w:ascii="Consolas" w:hAnsi="Consolas" w:cs="Consolas"/>
                <w:color w:val="333333"/>
                <w:sz w:val="19"/>
              </w:rPr>
              <w:t>AND HasRejectionWick = true</w:t>
            </w:r>
            <w:r>
              <w:br/>
            </w:r>
            <w:r>
              <w:rPr>
                <w:rFonts w:ascii="Consolas" w:hAnsi="Consolas" w:cs="Consolas"/>
                <w:color w:val="333333"/>
                <w:sz w:val="19"/>
              </w:rPr>
              <w:t>AND next candle is bearish</w:t>
            </w:r>
            <w:r>
              <w:br/>
            </w:r>
            <w:r>
              <w:rPr>
                <w:rFonts w:ascii="Consolas" w:hAnsi="Consolas" w:cs="Consolas"/>
                <w:color w:val="333333"/>
                <w:sz w:val="19"/>
              </w:rPr>
              <w:t>THEN Sell</w:t>
            </w:r>
          </w:p>
        </w:tc>
      </w:tr>
    </w:tbl>
    <w:p>
      <w:pPr>
        <w:bidi w:val="1"/>
        <w:spacing w:after="40" w:line="276" w:lineRule="auto"/>
        <w:jc w:val="right"/>
      </w:pPr>
    </w:p>
    <w:p>
      <w:pPr>
        <w:bidi w:val="1"/>
        <w:spacing w:before="200" w:after="100"/>
        <w:jc w:val="right"/>
      </w:pPr>
      <w:r>
        <w:rPr>
          <w:rFonts w:ascii="Arial" w:hAnsi="Arial" w:cs="Arial"/>
          <w:b/>
          <w:color w:val="183C69"/>
          <w:sz w:val="36"/>
        </w:rPr>
        <w:t>15. الخلاصة العملية</w:t>
      </w:r>
    </w:p>
    <w:p>
      <w:pPr>
        <w:bidi w:val="1"/>
        <w:spacing w:after="120" w:line="276" w:lineRule="auto"/>
        <w:jc w:val="right"/>
      </w:pPr>
      <w:r>
        <w:rPr>
          <w:rFonts w:ascii="Arial" w:hAnsi="Arial" w:cs="Arial"/>
          <w:b w:val="0"/>
          <w:color w:val="575757"/>
          <w:sz w:val="22"/>
        </w:rPr>
        <w:t>هذه الاستراتيجية لا تحاول التنبؤ بالسوق من أي مكان. هي تجبرك على انتظار السعر عند مناطق واضحة: قمة وقاع اليوم السابق، ثم نطاق ما قبل/بعد السوق، ثم شمعة رفض تؤكد أن هناك مشترٍ أو بائعًا دافع عن المنطقة.</w:t>
      </w:r>
    </w:p>
    <w:tbl>
      <w:tblPr>
        <w:tblW w:type="auto" w:w="0"/>
        <w:jc w:val="center"/>
        <w:tblLook w:firstColumn="1" w:firstRow="1" w:lastColumn="0" w:lastRow="0" w:noHBand="0" w:noVBand="1" w:val="04A0"/>
      </w:tblPr>
      <w:tblGrid>
        <w:gridCol w:w="10656"/>
      </w:tblGrid>
      <w:tr>
        <w:tc>
          <w:tcPr>
            <w:tcW w:type="dxa" w:w="10656"/>
            <w:shd w:fill="F3F6F8"/>
            <w:vAlign w:val="center"/>
          </w:tcPr>
          <w:p>
            <w:pPr>
              <w:bidi w:val="1"/>
              <w:jc w:val="right"/>
            </w:pPr>
            <w:r>
              <w:rPr>
                <w:rFonts w:ascii="Consolas" w:hAnsi="Consolas" w:cs="Consolas"/>
                <w:color w:val="333333"/>
                <w:sz w:val="19"/>
              </w:rPr>
              <w:t>Big Box: أين السيولة الرئيسية؟</w:t>
            </w:r>
            <w:r>
              <w:br/>
            </w:r>
            <w:r>
              <w:rPr>
                <w:rFonts w:ascii="Consolas" w:hAnsi="Consolas" w:cs="Consolas"/>
                <w:color w:val="333333"/>
                <w:sz w:val="19"/>
              </w:rPr>
              <w:t>Small Box: أين سحب السيولة القريب؟</w:t>
            </w:r>
            <w:r>
              <w:br/>
            </w:r>
            <w:r>
              <w:rPr>
                <w:rFonts w:ascii="Consolas" w:hAnsi="Consolas" w:cs="Consolas"/>
                <w:color w:val="333333"/>
                <w:sz w:val="19"/>
              </w:rPr>
              <w:t>One Candle: هل ظهر رفض حقيقي من المنطقة؟</w:t>
            </w:r>
            <w:r>
              <w:br/>
            </w:r>
            <w:r>
              <w:rPr>
                <w:rFonts w:ascii="Consolas" w:hAnsi="Consolas" w:cs="Consolas"/>
                <w:color w:val="333333"/>
                <w:sz w:val="19"/>
              </w:rPr>
              <w:t>IF yes: trade with the rejection</w:t>
            </w:r>
            <w:r>
              <w:br/>
            </w:r>
            <w:r>
              <w:rPr>
                <w:rFonts w:ascii="Consolas" w:hAnsi="Consolas" w:cs="Consolas"/>
                <w:color w:val="333333"/>
                <w:sz w:val="19"/>
              </w:rPr>
              <w:t>IF no: wait</w:t>
            </w:r>
          </w:p>
        </w:tc>
      </w:tr>
    </w:tbl>
    <w:p>
      <w:pPr>
        <w:bidi w:val="1"/>
        <w:spacing w:after="40" w:line="276" w:lineRule="auto"/>
        <w:jc w:val="right"/>
      </w:pPr>
    </w:p>
    <w:p>
      <w:pPr>
        <w:bidi w:val="1"/>
        <w:spacing w:after="120" w:line="276" w:lineRule="auto"/>
        <w:jc w:val="right"/>
      </w:pPr>
      <w:r>
        <w:rPr>
          <w:rFonts w:ascii="Arial" w:hAnsi="Arial" w:cs="Arial"/>
          <w:b w:val="0"/>
          <w:color w:val="777777"/>
          <w:sz w:val="19"/>
        </w:rPr>
        <w:t>تنبيه: هذه الوثيقة تنظيم تعليمي للاستراتيجية وليست توصية مالية. يجب اختبارها على بيانات تاريخية وحساب تجريبي قبل استخدامها على حساب حقيقي.</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color w:val="777777"/>
        <w:sz w:val="17"/>
      </w:rPr>
      <w:t>ملف مستقل للاستراتيجية - نسخة منظمة قابلة للتطبيق</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Arial" w:hAnsi="Arial" w:cs="Arial"/>
        <w:b/>
        <w:color w:val="183C69"/>
        <w:sz w:val="18"/>
      </w:rPr>
      <w:t>استراتيجية الصندوقين والشمعة الحاسمة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