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rPr>
          <w:rFonts w:ascii="Noto Kufi Arabic" w:hAnsi="Noto Kufi Arabic" w:cs="Noto Kufi Arabic"/>
          <w:b/>
          <w:color w:val="183C69"/>
          <w:sz w:val="44"/>
        </w:rPr>
        <w:t>استراتيجية لمس نطاق الافتتاح والارتداد</w:t>
      </w:r>
    </w:p>
    <w:p>
      <w:pPr>
        <w:jc w:val="center"/>
        <w:bidi w:val="1"/>
      </w:pPr>
      <w:r>
        <w:rPr>
          <w:rFonts w:ascii="Noto Kufi Arabic" w:hAnsi="Noto Kufi Arabic" w:cs="Noto Kufi Arabic"/>
          <w:b/>
          <w:color w:val="2CADA8"/>
          <w:sz w:val="26"/>
        </w:rPr>
        <w:t>Touch &amp; Turn Opening Range Scalper</w:t>
      </w:r>
    </w:p>
    <w:p>
      <w:pPr>
        <w:jc w:val="center"/>
        <w:bidi w:val="1"/>
      </w:pPr>
      <w:r>
        <w:rPr>
          <w:rFonts w:ascii="Noto Sans Arabic" w:hAnsi="Noto Sans Arabic" w:cs="Noto Sans Arabic"/>
          <w:b w:val="0"/>
          <w:color w:val="575757"/>
          <w:sz w:val="21"/>
        </w:rPr>
        <w:t>ملف مستقل لتنظيم الاستراتيجية وتحويلها إلى قواعد تداول قابلة للتطبيق والبرمجة</w:t>
      </w:r>
    </w:p>
    <w:p/>
    <w:tbl>
      <w:tblPr>
        <w:tblStyle w:val="TableGrid"/>
        <w:tblW w:type="auto" w:w="0"/>
        <w:jc w:val="center"/>
        <w:tblLook w:firstColumn="1" w:firstRow="1" w:lastColumn="0" w:lastRow="0" w:noHBand="0" w:noVBand="1" w:val="04A0"/>
      </w:tblPr>
      <w:tblGrid>
        <w:gridCol w:w="5103"/>
        <w:gridCol w:w="5103"/>
      </w:tblGrid>
      <w:tr>
        <w:tc>
          <w:tcPr>
            <w:tcW w:type="dxa" w:w="5103"/>
            <w:vAlign w:val="center"/>
            <w:shd w:fill="183C69"/>
          </w:tcPr>
          <w:p>
            <w:pPr>
              <w:jc w:val="right"/>
              <w:bidi w:val="1"/>
            </w:pPr>
            <w:r>
              <w:rPr>
                <w:rFonts w:ascii="Noto Sans Arabic" w:hAnsi="Noto Sans Arabic" w:cs="Noto Sans Arabic"/>
              </w:rPr>
            </w:r>
            <w:r>
              <w:rPr>
                <w:rFonts w:ascii="Noto Sans Arabic" w:hAnsi="Noto Sans Arabic" w:cs="Noto Sans Arabic"/>
                <w:b/>
                <w:color w:val="FFFFFF"/>
                <w:sz w:val="20"/>
              </w:rPr>
              <w:t>البند</w:t>
            </w:r>
          </w:p>
        </w:tc>
        <w:tc>
          <w:tcPr>
            <w:tcW w:type="dxa" w:w="5103"/>
            <w:vAlign w:val="center"/>
            <w:shd w:fill="183C69"/>
          </w:tcPr>
          <w:p>
            <w:pPr>
              <w:jc w:val="right"/>
              <w:bidi w:val="1"/>
            </w:pPr>
            <w:r>
              <w:rPr>
                <w:rFonts w:ascii="Noto Sans Arabic" w:hAnsi="Noto Sans Arabic" w:cs="Noto Sans Arabic"/>
              </w:rPr>
            </w:r>
            <w:r>
              <w:rPr>
                <w:rFonts w:ascii="Noto Sans Arabic" w:hAnsi="Noto Sans Arabic" w:cs="Noto Sans Arabic"/>
                <w:b/>
                <w:color w:val="FFFFFF"/>
                <w:sz w:val="20"/>
              </w:rPr>
              <w:t>التفصيل</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الاسم العربي المعتمد</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استراتيجية لمس نطاق الافتتاح والارتداد</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الاسم الإنجليزي</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Touch &amp; Turn Opening Range Scalper</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نوع الاستراتيجية</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Scalping / Opening Range Reversal</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الفريم الأساسي</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شمعة أول 15 دقيقة من افتتاح السوق</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فريم التنفيذ</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دقيقة واحدة M1</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نافذة العمل</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أول 90 دقيقة من افتتاح السوق فقط</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الأدوات</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Fibonacci Retracement + ATR(14) Daily</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الفكرة</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شمعة افتتاح قوية تُنشئ سيولة، ثم يعود السعر للمس طرف النطاق وينعكس نحو مستوى فيبوناتشي داخلي.</w:t>
            </w:r>
          </w:p>
        </w:tc>
      </w:tr>
    </w:tbl>
    <w:p/>
    <w:p>
      <w:pPr>
        <w:spacing w:before="200" w:after="80"/>
        <w:jc w:val="right"/>
        <w:bidi w:val="1"/>
      </w:pPr>
      <w:r>
        <w:rPr>
          <w:rFonts w:ascii="Noto Kufi Arabic" w:hAnsi="Noto Kufi Arabic" w:cs="Noto Kufi Arabic"/>
          <w:b/>
          <w:color w:val="183C69"/>
          <w:sz w:val="30"/>
        </w:rPr>
        <w:t>1. الفكرة الأساسية</w:t>
      </w:r>
    </w:p>
    <w:p>
      <w:pPr>
        <w:spacing w:after="80" w:line="276" w:lineRule="auto"/>
        <w:jc w:val="right"/>
        <w:bidi w:val="1"/>
      </w:pPr>
      <w:r>
        <w:rPr>
          <w:rFonts w:ascii="Noto Sans Arabic" w:hAnsi="Noto Sans Arabic" w:cs="Noto Sans Arabic"/>
          <w:b w:val="0"/>
          <w:color w:val="373737"/>
          <w:sz w:val="21"/>
        </w:rPr>
        <w:t>تعتمد الاستراتيجية على أول شمعة 15 دقيقة بعد افتتاح السوق. إذا كانت هذه الشمعة قوية وسريعة بما يكفي مقارنة بمتوسط حركة الأصل اليومي، نعتبرها شمعة سيولة أو Manipulation Candle. بعدها لا نطارد الحركة، بل ننتظر عودة السعر إلى طرف نطاق هذه الشمعة، ثم ندخل عكس اتجاه شمعة الافتتاح باستخدام أمر Limit.</w:t>
      </w:r>
    </w:p>
    <w:p>
      <w:pPr>
        <w:spacing w:after="80" w:line="276" w:lineRule="auto"/>
        <w:jc w:val="right"/>
        <w:bidi w:val="1"/>
      </w:pPr>
      <w:r>
        <w:rPr>
          <w:rFonts w:ascii="Noto Sans Arabic" w:hAnsi="Noto Sans Arabic" w:cs="Noto Sans Arabic"/>
          <w:b w:val="0"/>
          <w:color w:val="373737"/>
          <w:sz w:val="21"/>
        </w:rPr>
        <w:t>المبدأ المختصر: حركة افتتاح قوية تخلق سيولة، ثم غالبًا يعود السعر ليلمس طرف النطاق مرة أخرى، وبعد اللمس يحدث ارتداد باتجاه داخل النطاق. لهذا سميت الاستراتيجية: لمس ثم انعكاس.</w:t>
      </w:r>
    </w:p>
    <w:p>
      <w:pPr>
        <w:spacing w:before="200" w:after="80"/>
        <w:jc w:val="right"/>
        <w:bidi w:val="1"/>
      </w:pPr>
      <w:r>
        <w:rPr>
          <w:rFonts w:ascii="Noto Kufi Arabic" w:hAnsi="Noto Kufi Arabic" w:cs="Noto Kufi Arabic"/>
          <w:b/>
          <w:color w:val="183C69"/>
          <w:sz w:val="30"/>
        </w:rPr>
        <w:t>2. لماذا هذا الاسم؟</w:t>
      </w:r>
    </w:p>
    <w:p>
      <w:pPr>
        <w:spacing w:after="80" w:line="276" w:lineRule="auto"/>
        <w:jc w:val="right"/>
        <w:bidi w:val="1"/>
      </w:pPr>
      <w:r>
        <w:rPr>
          <w:rFonts w:ascii="Noto Sans Arabic" w:hAnsi="Noto Sans Arabic" w:cs="Noto Sans Arabic"/>
          <w:b w:val="0"/>
          <w:color w:val="373737"/>
          <w:sz w:val="21"/>
        </w:rPr>
        <w:t>الاسم المعتمد هو استراتيجية لمس نطاق الافتتاح والارتداد لأنه يصف السلوك الحقيقي المطلوب: السعر يلمس حد نطاق الافتتاح، ثم يرتد نحو مستوى فيبوناتشي داخلي. الاسم لا يركز فقط على المؤشر أو الأداة، بل يركز على منطق الصفقة نفسه.</w:t>
      </w:r>
    </w:p>
    <w:p>
      <w:pPr>
        <w:spacing w:before="200" w:after="80"/>
        <w:jc w:val="right"/>
        <w:bidi w:val="1"/>
      </w:pPr>
      <w:r>
        <w:rPr>
          <w:rFonts w:ascii="Noto Kufi Arabic" w:hAnsi="Noto Kufi Arabic" w:cs="Noto Kufi Arabic"/>
          <w:b/>
          <w:color w:val="183C69"/>
          <w:sz w:val="30"/>
        </w:rPr>
        <w:t>3. الأدوات والفريمات</w:t>
      </w:r>
    </w:p>
    <w:tbl>
      <w:tblPr>
        <w:tblStyle w:val="TableGrid"/>
        <w:tblW w:type="auto" w:w="0"/>
        <w:jc w:val="center"/>
        <w:tblLook w:firstColumn="1" w:firstRow="1" w:lastColumn="0" w:lastRow="0" w:noHBand="0" w:noVBand="1" w:val="04A0"/>
      </w:tblPr>
      <w:tblGrid>
        <w:gridCol w:w="5103"/>
        <w:gridCol w:w="5103"/>
      </w:tblGrid>
      <w:tr>
        <w:tc>
          <w:tcPr>
            <w:tcW w:type="dxa" w:w="5103"/>
            <w:vAlign w:val="center"/>
            <w:shd w:fill="183C69"/>
          </w:tcPr>
          <w:p>
            <w:pPr>
              <w:jc w:val="right"/>
              <w:bidi w:val="1"/>
            </w:pPr>
            <w:r>
              <w:rPr>
                <w:rFonts w:ascii="Noto Sans Arabic" w:hAnsi="Noto Sans Arabic" w:cs="Noto Sans Arabic"/>
              </w:rPr>
            </w:r>
            <w:r>
              <w:rPr>
                <w:rFonts w:ascii="Noto Sans Arabic" w:hAnsi="Noto Sans Arabic" w:cs="Noto Sans Arabic"/>
                <w:b/>
                <w:color w:val="FFFFFF"/>
                <w:sz w:val="20"/>
              </w:rPr>
              <w:t>الأداة / الفريم</w:t>
            </w:r>
          </w:p>
        </w:tc>
        <w:tc>
          <w:tcPr>
            <w:tcW w:type="dxa" w:w="5103"/>
            <w:vAlign w:val="center"/>
            <w:shd w:fill="183C69"/>
          </w:tcPr>
          <w:p>
            <w:pPr>
              <w:jc w:val="right"/>
              <w:bidi w:val="1"/>
            </w:pPr>
            <w:r>
              <w:rPr>
                <w:rFonts w:ascii="Noto Sans Arabic" w:hAnsi="Noto Sans Arabic" w:cs="Noto Sans Arabic"/>
              </w:rPr>
            </w:r>
            <w:r>
              <w:rPr>
                <w:rFonts w:ascii="Noto Sans Arabic" w:hAnsi="Noto Sans Arabic" w:cs="Noto Sans Arabic"/>
                <w:b/>
                <w:color w:val="FFFFFF"/>
                <w:sz w:val="20"/>
              </w:rPr>
              <w:t>الاستخدام</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Daily Chart</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لاستخراج ATR(14) ومعرفة متوسط الحركة اليومية.</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M15</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لتحديد نطاق شمعة الافتتاح من أعلى سعر إلى أدنى سعر.</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M1</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لتنفيذ أمر Limit وإدارة الدخول بدقة.</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Fibonacci Retracement</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يرسم على نطاق أول شمعة 15 دقيقة. نستخدم 38.2 و61.8 كمستويات هدف.</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ATR(14)</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فلتر للتأكد أن شمعة الافتتاح تمثل حركة سيولة قوية وليست شمعة عادية.</w:t>
            </w:r>
          </w:p>
        </w:tc>
      </w:tr>
    </w:tbl>
    <w:p/>
    <w:p>
      <w:pPr>
        <w:spacing w:before="200" w:after="80"/>
        <w:jc w:val="right"/>
        <w:bidi w:val="1"/>
      </w:pPr>
      <w:r>
        <w:rPr>
          <w:rFonts w:ascii="Noto Kufi Arabic" w:hAnsi="Noto Kufi Arabic" w:cs="Noto Kufi Arabic"/>
          <w:b/>
          <w:color w:val="183C69"/>
          <w:sz w:val="30"/>
        </w:rPr>
        <w:t>4. شرط شمعة السيولة Liquidity Candle</w:t>
      </w:r>
    </w:p>
    <w:p>
      <w:pPr>
        <w:spacing w:after="80" w:line="276" w:lineRule="auto"/>
        <w:jc w:val="right"/>
        <w:bidi w:val="1"/>
      </w:pPr>
      <w:r>
        <w:rPr>
          <w:rFonts w:ascii="Noto Sans Arabic" w:hAnsi="Noto Sans Arabic" w:cs="Noto Sans Arabic"/>
          <w:b w:val="0"/>
          <w:color w:val="373737"/>
          <w:sz w:val="21"/>
        </w:rPr>
        <w:t>بعد إغلاق أول شمعة 15 دقيقة، نحسب حجمها من أعلى سعر إلى أدنى سعر. ثم نقارنه مع ATR اليومي.</w:t>
      </w:r>
    </w:p>
    <w:tbl>
      <w:tblPr>
        <w:tblW w:type="auto" w:w="0"/>
        <w:jc w:val="center"/>
        <w:tblLayout w:type="autofit"/>
        <w:tblLook w:firstColumn="1" w:firstRow="1" w:lastColumn="0" w:lastRow="0" w:noHBand="0" w:noVBand="1" w:val="04A0"/>
      </w:tblPr>
      <w:tblGrid>
        <w:gridCol w:w="10206"/>
      </w:tblGrid>
      <w:tr>
        <w:tc>
          <w:tcPr>
            <w:tcW w:type="dxa" w:w="10206"/>
            <w:shd w:fill="F2F6F8"/>
          </w:tcPr>
          <w:p>
            <w:pPr>
              <w:spacing w:after="20"/>
              <w:jc w:val="left"/>
            </w:pPr>
            <w:r/>
            <w:r>
              <w:rPr>
                <w:rFonts w:ascii="DejaVu Sans Mono" w:hAnsi="DejaVu Sans Mono" w:cs="DejaVu Sans Mono"/>
                <w:b w:val="0"/>
                <w:color w:val="282828"/>
                <w:sz w:val="18"/>
              </w:rPr>
              <w:t>ATR_Daily = ATR(D1, 14)</w:t>
            </w:r>
          </w:p>
          <w:p>
            <w:pPr>
              <w:spacing w:after="20"/>
              <w:jc w:val="left"/>
            </w:pPr>
            <w:r>
              <w:rPr>
                <w:rFonts w:ascii="DejaVu Sans Mono" w:hAnsi="DejaVu Sans Mono" w:cs="DejaVu Sans Mono"/>
                <w:b w:val="0"/>
                <w:color w:val="282828"/>
                <w:sz w:val="18"/>
              </w:rPr>
              <w:t>Opening_Range_Size = Opening_High - Opening_Low</w:t>
            </w:r>
          </w:p>
          <w:p>
            <w:pPr>
              <w:spacing w:after="20"/>
              <w:jc w:val="left"/>
            </w:pPr>
            <w:r>
              <w:rPr>
                <w:rFonts w:ascii="DejaVu Sans Mono" w:hAnsi="DejaVu Sans Mono" w:cs="DejaVu Sans Mono"/>
                <w:b w:val="0"/>
                <w:color w:val="282828"/>
                <w:sz w:val="18"/>
              </w:rPr>
              <w:t>Liquidity_Threshold = ATR_Daily * 0.25</w:t>
            </w:r>
          </w:p>
          <w:p>
            <w:pPr>
              <w:spacing w:after="20"/>
              <w:jc w:val="left"/>
            </w:pPr>
            <w:r>
              <w:rPr>
                <w:rFonts w:ascii="DejaVu Sans Mono" w:hAnsi="DejaVu Sans Mono" w:cs="DejaVu Sans Mono"/>
                <w:b w:val="0"/>
                <w:color w:val="282828"/>
                <w:sz w:val="18"/>
              </w:rPr>
              <w:t>IF Opening_Range_Size &gt;= Liquidity_Threshold:</w:t>
            </w:r>
          </w:p>
          <w:p>
            <w:pPr>
              <w:spacing w:after="20"/>
              <w:jc w:val="left"/>
            </w:pPr>
            <w:r>
              <w:rPr>
                <w:rFonts w:ascii="DejaVu Sans Mono" w:hAnsi="DejaVu Sans Mono" w:cs="DejaVu Sans Mono"/>
                <w:b w:val="0"/>
                <w:color w:val="282828"/>
                <w:sz w:val="18"/>
              </w:rPr>
              <w:t xml:space="preserve">    CandleStatus = Liquidity_Candle</w:t>
            </w:r>
          </w:p>
          <w:p>
            <w:pPr>
              <w:spacing w:after="20"/>
              <w:jc w:val="left"/>
            </w:pPr>
            <w:r>
              <w:rPr>
                <w:rFonts w:ascii="DejaVu Sans Mono" w:hAnsi="DejaVu Sans Mono" w:cs="DejaVu Sans Mono"/>
                <w:b w:val="0"/>
                <w:color w:val="282828"/>
                <w:sz w:val="18"/>
              </w:rPr>
              <w:t>ELSE:</w:t>
            </w:r>
          </w:p>
          <w:p>
            <w:pPr>
              <w:spacing w:after="20"/>
              <w:jc w:val="left"/>
            </w:pPr>
            <w:r>
              <w:rPr>
                <w:rFonts w:ascii="DejaVu Sans Mono" w:hAnsi="DejaVu Sans Mono" w:cs="DejaVu Sans Mono"/>
                <w:b w:val="0"/>
                <w:color w:val="282828"/>
                <w:sz w:val="18"/>
              </w:rPr>
              <w:t xml:space="preserve">    NoTrade</w:t>
            </w:r>
          </w:p>
        </w:tc>
      </w:tr>
    </w:tbl>
    <w:p/>
    <w:p>
      <w:pPr>
        <w:spacing w:after="80" w:line="276" w:lineRule="auto"/>
        <w:jc w:val="right"/>
        <w:bidi w:val="1"/>
      </w:pPr>
      <w:r>
        <w:rPr>
          <w:rFonts w:ascii="Noto Sans Arabic" w:hAnsi="Noto Sans Arabic" w:cs="Noto Sans Arabic"/>
          <w:b w:val="0"/>
          <w:color w:val="373737"/>
          <w:sz w:val="21"/>
        </w:rPr>
        <w:t>مثال: إذا كان ATR اليومي = 17.75، فإن 25% منه = 4.44. إذا كان نطاق شمعة أول 15 دقيقة أكبر أو يساوي 4.44، فهي شمعة سيولة مؤهلة.</w:t>
      </w:r>
    </w:p>
    <w:p>
      <w:pPr>
        <w:spacing w:before="200" w:after="80"/>
        <w:jc w:val="right"/>
        <w:bidi w:val="1"/>
      </w:pPr>
      <w:r>
        <w:rPr>
          <w:rFonts w:ascii="Noto Kufi Arabic" w:hAnsi="Noto Kufi Arabic" w:cs="Noto Kufi Arabic"/>
          <w:b/>
          <w:color w:val="183C69"/>
          <w:sz w:val="30"/>
        </w:rPr>
        <w:t>5. رسم فيبوناتشي على نطاق الافتتاح</w:t>
      </w:r>
    </w:p>
    <w:p>
      <w:pPr>
        <w:spacing w:after="80" w:line="276" w:lineRule="auto"/>
        <w:jc w:val="right"/>
        <w:bidi w:val="1"/>
      </w:pPr>
      <w:r>
        <w:rPr>
          <w:rFonts w:ascii="Noto Sans Arabic" w:hAnsi="Noto Sans Arabic" w:cs="Noto Sans Arabic"/>
          <w:b w:val="0"/>
          <w:color w:val="373737"/>
          <w:sz w:val="21"/>
        </w:rPr>
        <w:t>بعد تأكيد أن شمعة الافتتاح مؤهلة، نرسم Fibonacci Retracement على كامل نطاق الشمعة: من أعلى سعر إلى أدنى سعر، ثم نمد المستويات إلى المستقبل.</w:t>
      </w:r>
    </w:p>
    <w:p>
      <w:pPr>
        <w:spacing w:after="80" w:line="276" w:lineRule="auto"/>
        <w:jc w:val="right"/>
        <w:bidi w:val="1"/>
      </w:pPr>
      <w:r>
        <w:rPr>
          <w:rFonts w:ascii="Noto Sans Arabic" w:hAnsi="Noto Sans Arabic" w:cs="Noto Sans Arabic"/>
          <w:b w:val="0"/>
          <w:color w:val="373737"/>
          <w:sz w:val="21"/>
        </w:rPr>
        <w:t>المستويات المهمة لهذه الاستراتيجية هي 38.2 و61.8 فقط. لا نحتاج لباقي المستويات لاتخاذ القرار الأساسي.</w:t>
      </w:r>
    </w:p>
    <w:p>
      <w:pPr>
        <w:spacing w:before="200" w:after="80"/>
        <w:jc w:val="right"/>
        <w:bidi w:val="1"/>
      </w:pPr>
      <w:r>
        <w:rPr>
          <w:rFonts w:ascii="Noto Kufi Arabic" w:hAnsi="Noto Kufi Arabic" w:cs="Noto Kufi Arabic"/>
          <w:b/>
          <w:color w:val="183C69"/>
          <w:sz w:val="30"/>
        </w:rPr>
        <w:t>6. منطق الشراء Buy Setup</w:t>
      </w:r>
    </w:p>
    <w:p>
      <w:pPr>
        <w:spacing w:after="80" w:line="276" w:lineRule="auto"/>
        <w:jc w:val="right"/>
        <w:bidi w:val="1"/>
      </w:pPr>
      <w:r>
        <w:rPr>
          <w:rFonts w:ascii="Noto Sans Arabic" w:hAnsi="Noto Sans Arabic" w:cs="Noto Sans Arabic"/>
          <w:b w:val="0"/>
          <w:color w:val="373737"/>
          <w:sz w:val="21"/>
        </w:rPr>
        <w:t>يتم البحث عن شراء عندما تكون شمعة الافتتاح هابطة / حمراء. السبب أن الاستراتيجية لا تطارد الهبوط، بل تتوقع عودة السعر للمس قاع النطاق ثم الارتداد إلى الداخل.</w:t>
      </w:r>
    </w:p>
    <w:tbl>
      <w:tblPr>
        <w:tblW w:type="auto" w:w="0"/>
        <w:jc w:val="center"/>
        <w:tblLayout w:type="autofit"/>
        <w:tblLook w:firstColumn="1" w:firstRow="1" w:lastColumn="0" w:lastRow="0" w:noHBand="0" w:noVBand="1" w:val="04A0"/>
      </w:tblPr>
      <w:tblGrid>
        <w:gridCol w:w="10206"/>
      </w:tblGrid>
      <w:tr>
        <w:tc>
          <w:tcPr>
            <w:tcW w:type="dxa" w:w="10206"/>
            <w:shd w:fill="F2F6F8"/>
          </w:tcPr>
          <w:p>
            <w:pPr>
              <w:spacing w:after="20"/>
              <w:jc w:val="left"/>
            </w:pPr>
            <w:r/>
            <w:r>
              <w:rPr>
                <w:rFonts w:ascii="DejaVu Sans Mono" w:hAnsi="DejaVu Sans Mono" w:cs="DejaVu Sans Mono"/>
                <w:b w:val="0"/>
                <w:color w:val="282828"/>
                <w:sz w:val="18"/>
              </w:rPr>
              <w:t>IF Opening_Candle = Bearish</w:t>
            </w:r>
          </w:p>
          <w:p>
            <w:pPr>
              <w:spacing w:after="20"/>
              <w:jc w:val="left"/>
            </w:pPr>
            <w:r>
              <w:rPr>
                <w:rFonts w:ascii="DejaVu Sans Mono" w:hAnsi="DejaVu Sans Mono" w:cs="DejaVu Sans Mono"/>
                <w:b w:val="0"/>
                <w:color w:val="282828"/>
                <w:sz w:val="18"/>
              </w:rPr>
              <w:t>AND Opening_Range_Size &gt;= ATR(D1,14) * 0.25</w:t>
            </w:r>
          </w:p>
          <w:p>
            <w:pPr>
              <w:spacing w:after="20"/>
              <w:jc w:val="left"/>
            </w:pPr>
            <w:r>
              <w:rPr>
                <w:rFonts w:ascii="DejaVu Sans Mono" w:hAnsi="DejaVu Sans Mono" w:cs="DejaVu Sans Mono"/>
                <w:b w:val="0"/>
                <w:color w:val="282828"/>
                <w:sz w:val="18"/>
              </w:rPr>
              <w:t>THEN draw Fibonacci on the opening range</w:t>
            </w:r>
          </w:p>
          <w:p>
            <w:pPr>
              <w:spacing w:after="20"/>
              <w:jc w:val="left"/>
            </w:pPr>
            <w:r>
              <w:rPr>
                <w:rFonts w:ascii="DejaVu Sans Mono" w:hAnsi="DejaVu Sans Mono" w:cs="DejaVu Sans Mono"/>
                <w:b w:val="0"/>
                <w:color w:val="282828"/>
                <w:sz w:val="18"/>
              </w:rPr>
              <w:t>ExecutionTF = M1</w:t>
            </w:r>
          </w:p>
          <w:p>
            <w:pPr>
              <w:spacing w:after="20"/>
              <w:jc w:val="left"/>
            </w:pPr>
            <w:r>
              <w:rPr>
                <w:rFonts w:ascii="DejaVu Sans Mono" w:hAnsi="DejaVu Sans Mono" w:cs="DejaVu Sans Mono"/>
                <w:b w:val="0"/>
                <w:color w:val="282828"/>
                <w:sz w:val="18"/>
              </w:rPr>
              <w:t>Entry = BuyLimit at Opening_Low</w:t>
            </w:r>
          </w:p>
          <w:p>
            <w:pPr>
              <w:spacing w:after="20"/>
              <w:jc w:val="left"/>
            </w:pPr>
            <w:r>
              <w:rPr>
                <w:rFonts w:ascii="DejaVu Sans Mono" w:hAnsi="DejaVu Sans Mono" w:cs="DejaVu Sans Mono"/>
                <w:b w:val="0"/>
                <w:color w:val="282828"/>
                <w:sz w:val="18"/>
              </w:rPr>
              <w:t>TakeProfit = Fib_38_2 inside the range</w:t>
            </w:r>
          </w:p>
          <w:p>
            <w:pPr>
              <w:spacing w:after="20"/>
              <w:jc w:val="left"/>
            </w:pPr>
            <w:r>
              <w:rPr>
                <w:rFonts w:ascii="DejaVu Sans Mono" w:hAnsi="DejaVu Sans Mono" w:cs="DejaVu Sans Mono"/>
                <w:b w:val="0"/>
                <w:color w:val="282828"/>
                <w:sz w:val="18"/>
              </w:rPr>
              <w:t>StopLoss = Entry - ((TakeProfit - Entry) / 2)</w:t>
            </w:r>
          </w:p>
          <w:p>
            <w:pPr>
              <w:spacing w:after="20"/>
              <w:jc w:val="left"/>
            </w:pPr>
            <w:r>
              <w:rPr>
                <w:rFonts w:ascii="DejaVu Sans Mono" w:hAnsi="DejaVu Sans Mono" w:cs="DejaVu Sans Mono"/>
                <w:b w:val="0"/>
                <w:color w:val="282828"/>
                <w:sz w:val="18"/>
              </w:rPr>
              <w:t>Cancel pending order after 90 minutes from market open</w:t>
            </w:r>
          </w:p>
        </w:tc>
      </w:tr>
    </w:tbl>
    <w:p/>
    <w:tbl>
      <w:tblPr>
        <w:tblStyle w:val="TableGrid"/>
        <w:tblW w:type="auto" w:w="0"/>
        <w:jc w:val="center"/>
        <w:tblLook w:firstColumn="1" w:firstRow="1" w:lastColumn="0" w:lastRow="0" w:noHBand="0" w:noVBand="1" w:val="04A0"/>
      </w:tblPr>
      <w:tblGrid>
        <w:gridCol w:w="5103"/>
        <w:gridCol w:w="5103"/>
      </w:tblGrid>
      <w:tr>
        <w:tc>
          <w:tcPr>
            <w:tcW w:type="dxa" w:w="5103"/>
            <w:vAlign w:val="center"/>
            <w:shd w:fill="183C69"/>
          </w:tcPr>
          <w:p>
            <w:pPr>
              <w:jc w:val="right"/>
              <w:bidi w:val="1"/>
            </w:pPr>
            <w:r>
              <w:rPr>
                <w:rFonts w:ascii="Noto Sans Arabic" w:hAnsi="Noto Sans Arabic" w:cs="Noto Sans Arabic"/>
              </w:rPr>
            </w:r>
            <w:r>
              <w:rPr>
                <w:rFonts w:ascii="Noto Sans Arabic" w:hAnsi="Noto Sans Arabic" w:cs="Noto Sans Arabic"/>
                <w:b/>
                <w:color w:val="FFFFFF"/>
                <w:sz w:val="20"/>
              </w:rPr>
              <w:t>البند</w:t>
            </w:r>
          </w:p>
        </w:tc>
        <w:tc>
          <w:tcPr>
            <w:tcW w:type="dxa" w:w="5103"/>
            <w:vAlign w:val="center"/>
            <w:shd w:fill="183C69"/>
          </w:tcPr>
          <w:p>
            <w:pPr>
              <w:jc w:val="right"/>
              <w:bidi w:val="1"/>
            </w:pPr>
            <w:r>
              <w:rPr>
                <w:rFonts w:ascii="Noto Sans Arabic" w:hAnsi="Noto Sans Arabic" w:cs="Noto Sans Arabic"/>
              </w:rPr>
            </w:r>
            <w:r>
              <w:rPr>
                <w:rFonts w:ascii="Noto Sans Arabic" w:hAnsi="Noto Sans Arabic" w:cs="Noto Sans Arabic"/>
                <w:b/>
                <w:color w:val="FFFFFF"/>
                <w:sz w:val="20"/>
              </w:rPr>
              <w:t>قاعدة الشراء</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اتجاه شمعة الافتتاح</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هابطة / Red Candle</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نوع الأمر</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Buy Limit</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مكان الدخول</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عند قاع نطاق أول 15 دقيقة</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الهدف</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مستوى 38.2 Fibonacci داخل النطاق</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وقف الخسارة</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أسفل قاع النطاق بمقدار نصف مسافة الهدف تقريبًا لتحقيق 2:1</w:t>
            </w:r>
          </w:p>
        </w:tc>
      </w:tr>
    </w:tbl>
    <w:p/>
    <w:p>
      <w:pPr>
        <w:spacing w:before="200" w:after="80"/>
        <w:jc w:val="right"/>
        <w:bidi w:val="1"/>
      </w:pPr>
      <w:r>
        <w:rPr>
          <w:rFonts w:ascii="Noto Kufi Arabic" w:hAnsi="Noto Kufi Arabic" w:cs="Noto Kufi Arabic"/>
          <w:b/>
          <w:color w:val="183C69"/>
          <w:sz w:val="30"/>
        </w:rPr>
        <w:t>7. منطق البيع Sell Setup</w:t>
      </w:r>
    </w:p>
    <w:p>
      <w:pPr>
        <w:spacing w:after="80" w:line="276" w:lineRule="auto"/>
        <w:jc w:val="right"/>
        <w:bidi w:val="1"/>
      </w:pPr>
      <w:r>
        <w:rPr>
          <w:rFonts w:ascii="Noto Sans Arabic" w:hAnsi="Noto Sans Arabic" w:cs="Noto Sans Arabic"/>
          <w:b w:val="0"/>
          <w:color w:val="373737"/>
          <w:sz w:val="21"/>
        </w:rPr>
        <w:t>يتم البحث عن بيع عندما تكون شمعة الافتتاح صاعدة / خضراء. السبب أن الاستراتيجية لا تطارد الصعود، بل تتوقع عودة السعر للمس قمة النطاق ثم الارتداد إلى الداخل.</w:t>
      </w:r>
    </w:p>
    <w:tbl>
      <w:tblPr>
        <w:tblW w:type="auto" w:w="0"/>
        <w:jc w:val="center"/>
        <w:tblLayout w:type="autofit"/>
        <w:tblLook w:firstColumn="1" w:firstRow="1" w:lastColumn="0" w:lastRow="0" w:noHBand="0" w:noVBand="1" w:val="04A0"/>
      </w:tblPr>
      <w:tblGrid>
        <w:gridCol w:w="10206"/>
      </w:tblGrid>
      <w:tr>
        <w:tc>
          <w:tcPr>
            <w:tcW w:type="dxa" w:w="10206"/>
            <w:shd w:fill="F2F6F8"/>
          </w:tcPr>
          <w:p>
            <w:pPr>
              <w:spacing w:after="20"/>
              <w:jc w:val="left"/>
            </w:pPr>
            <w:r/>
            <w:r>
              <w:rPr>
                <w:rFonts w:ascii="DejaVu Sans Mono" w:hAnsi="DejaVu Sans Mono" w:cs="DejaVu Sans Mono"/>
                <w:b w:val="0"/>
                <w:color w:val="282828"/>
                <w:sz w:val="18"/>
              </w:rPr>
              <w:t>IF Opening_Candle = Bullish</w:t>
            </w:r>
          </w:p>
          <w:p>
            <w:pPr>
              <w:spacing w:after="20"/>
              <w:jc w:val="left"/>
            </w:pPr>
            <w:r>
              <w:rPr>
                <w:rFonts w:ascii="DejaVu Sans Mono" w:hAnsi="DejaVu Sans Mono" w:cs="DejaVu Sans Mono"/>
                <w:b w:val="0"/>
                <w:color w:val="282828"/>
                <w:sz w:val="18"/>
              </w:rPr>
              <w:t>AND Opening_Range_Size &gt;= ATR(D1,14) * 0.25</w:t>
            </w:r>
          </w:p>
          <w:p>
            <w:pPr>
              <w:spacing w:after="20"/>
              <w:jc w:val="left"/>
            </w:pPr>
            <w:r>
              <w:rPr>
                <w:rFonts w:ascii="DejaVu Sans Mono" w:hAnsi="DejaVu Sans Mono" w:cs="DejaVu Sans Mono"/>
                <w:b w:val="0"/>
                <w:color w:val="282828"/>
                <w:sz w:val="18"/>
              </w:rPr>
              <w:t>THEN draw Fibonacci on the opening range</w:t>
            </w:r>
          </w:p>
          <w:p>
            <w:pPr>
              <w:spacing w:after="20"/>
              <w:jc w:val="left"/>
            </w:pPr>
            <w:r>
              <w:rPr>
                <w:rFonts w:ascii="DejaVu Sans Mono" w:hAnsi="DejaVu Sans Mono" w:cs="DejaVu Sans Mono"/>
                <w:b w:val="0"/>
                <w:color w:val="282828"/>
                <w:sz w:val="18"/>
              </w:rPr>
              <w:t>ExecutionTF = M1</w:t>
            </w:r>
          </w:p>
          <w:p>
            <w:pPr>
              <w:spacing w:after="20"/>
              <w:jc w:val="left"/>
            </w:pPr>
            <w:r>
              <w:rPr>
                <w:rFonts w:ascii="DejaVu Sans Mono" w:hAnsi="DejaVu Sans Mono" w:cs="DejaVu Sans Mono"/>
                <w:b w:val="0"/>
                <w:color w:val="282828"/>
                <w:sz w:val="18"/>
              </w:rPr>
              <w:t>Entry = SellLimit at Opening_High</w:t>
            </w:r>
          </w:p>
          <w:p>
            <w:pPr>
              <w:spacing w:after="20"/>
              <w:jc w:val="left"/>
            </w:pPr>
            <w:r>
              <w:rPr>
                <w:rFonts w:ascii="DejaVu Sans Mono" w:hAnsi="DejaVu Sans Mono" w:cs="DejaVu Sans Mono"/>
                <w:b w:val="0"/>
                <w:color w:val="282828"/>
                <w:sz w:val="18"/>
              </w:rPr>
              <w:t>TakeProfit = Fib_61_8 inside the range</w:t>
            </w:r>
          </w:p>
          <w:p>
            <w:pPr>
              <w:spacing w:after="20"/>
              <w:jc w:val="left"/>
            </w:pPr>
            <w:r>
              <w:rPr>
                <w:rFonts w:ascii="DejaVu Sans Mono" w:hAnsi="DejaVu Sans Mono" w:cs="DejaVu Sans Mono"/>
                <w:b w:val="0"/>
                <w:color w:val="282828"/>
                <w:sz w:val="18"/>
              </w:rPr>
              <w:t>StopLoss = Entry + ((Entry - TakeProfit) / 2)</w:t>
            </w:r>
          </w:p>
          <w:p>
            <w:pPr>
              <w:spacing w:after="20"/>
              <w:jc w:val="left"/>
            </w:pPr>
            <w:r>
              <w:rPr>
                <w:rFonts w:ascii="DejaVu Sans Mono" w:hAnsi="DejaVu Sans Mono" w:cs="DejaVu Sans Mono"/>
                <w:b w:val="0"/>
                <w:color w:val="282828"/>
                <w:sz w:val="18"/>
              </w:rPr>
              <w:t>Cancel pending order after 90 minutes from market open</w:t>
            </w:r>
          </w:p>
        </w:tc>
      </w:tr>
    </w:tbl>
    <w:p/>
    <w:tbl>
      <w:tblPr>
        <w:tblStyle w:val="TableGrid"/>
        <w:tblW w:type="auto" w:w="0"/>
        <w:jc w:val="center"/>
        <w:tblLook w:firstColumn="1" w:firstRow="1" w:lastColumn="0" w:lastRow="0" w:noHBand="0" w:noVBand="1" w:val="04A0"/>
      </w:tblPr>
      <w:tblGrid>
        <w:gridCol w:w="5103"/>
        <w:gridCol w:w="5103"/>
      </w:tblGrid>
      <w:tr>
        <w:tc>
          <w:tcPr>
            <w:tcW w:type="dxa" w:w="5103"/>
            <w:vAlign w:val="center"/>
            <w:shd w:fill="183C69"/>
          </w:tcPr>
          <w:p>
            <w:pPr>
              <w:jc w:val="right"/>
              <w:bidi w:val="1"/>
            </w:pPr>
            <w:r>
              <w:rPr>
                <w:rFonts w:ascii="Noto Sans Arabic" w:hAnsi="Noto Sans Arabic" w:cs="Noto Sans Arabic"/>
              </w:rPr>
            </w:r>
            <w:r>
              <w:rPr>
                <w:rFonts w:ascii="Noto Sans Arabic" w:hAnsi="Noto Sans Arabic" w:cs="Noto Sans Arabic"/>
                <w:b/>
                <w:color w:val="FFFFFF"/>
                <w:sz w:val="20"/>
              </w:rPr>
              <w:t>البند</w:t>
            </w:r>
          </w:p>
        </w:tc>
        <w:tc>
          <w:tcPr>
            <w:tcW w:type="dxa" w:w="5103"/>
            <w:vAlign w:val="center"/>
            <w:shd w:fill="183C69"/>
          </w:tcPr>
          <w:p>
            <w:pPr>
              <w:jc w:val="right"/>
              <w:bidi w:val="1"/>
            </w:pPr>
            <w:r>
              <w:rPr>
                <w:rFonts w:ascii="Noto Sans Arabic" w:hAnsi="Noto Sans Arabic" w:cs="Noto Sans Arabic"/>
              </w:rPr>
            </w:r>
            <w:r>
              <w:rPr>
                <w:rFonts w:ascii="Noto Sans Arabic" w:hAnsi="Noto Sans Arabic" w:cs="Noto Sans Arabic"/>
                <w:b/>
                <w:color w:val="FFFFFF"/>
                <w:sz w:val="20"/>
              </w:rPr>
              <w:t>قاعدة البيع</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اتجاه شمعة الافتتاح</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صاعدة / Green Candle</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نوع الأمر</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Sell Limit</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مكان الدخول</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عند قمة نطاق أول 15 دقيقة</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الهدف</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مستوى 61.8 Fibonacci داخل النطاق</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وقف الخسارة</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أعلى قمة النطاق بمقدار نصف مسافة الهدف تقريبًا لتحقيق 2:1</w:t>
            </w:r>
          </w:p>
        </w:tc>
      </w:tr>
    </w:tbl>
    <w:p/>
    <w:p>
      <w:pPr>
        <w:spacing w:before="200" w:after="80"/>
        <w:jc w:val="right"/>
        <w:bidi w:val="1"/>
      </w:pPr>
      <w:r>
        <w:rPr>
          <w:rFonts w:ascii="Noto Kufi Arabic" w:hAnsi="Noto Kufi Arabic" w:cs="Noto Kufi Arabic"/>
          <w:b/>
          <w:color w:val="183C69"/>
          <w:sz w:val="30"/>
        </w:rPr>
        <w:t>8. إدارة المخاطرة</w:t>
      </w:r>
    </w:p>
    <w:p>
      <w:pPr>
        <w:spacing w:after="80" w:line="276" w:lineRule="auto"/>
        <w:jc w:val="right"/>
        <w:bidi w:val="1"/>
      </w:pPr>
      <w:r>
        <w:rPr>
          <w:rFonts w:ascii="Noto Sans Arabic" w:hAnsi="Noto Sans Arabic" w:cs="Noto Sans Arabic"/>
          <w:b w:val="0"/>
          <w:color w:val="373737"/>
          <w:sz w:val="21"/>
        </w:rPr>
        <w:t>الاستراتيجية مصممة لتكون قابلة للتطبيق بحجم مخاطرة صغير، مثل 20 إلى 50 دولارًا للصفقة، لكن قيمة المخاطرة ليست شرطًا ثابتًا. المهم أن يتم حساب حجم العقد بناءً على المسافة بين الدخول ووقف الخسارة.</w:t>
      </w:r>
    </w:p>
    <w:tbl>
      <w:tblPr>
        <w:tblW w:type="auto" w:w="0"/>
        <w:jc w:val="center"/>
        <w:tblLayout w:type="autofit"/>
        <w:tblLook w:firstColumn="1" w:firstRow="1" w:lastColumn="0" w:lastRow="0" w:noHBand="0" w:noVBand="1" w:val="04A0"/>
      </w:tblPr>
      <w:tblGrid>
        <w:gridCol w:w="10206"/>
      </w:tblGrid>
      <w:tr>
        <w:tc>
          <w:tcPr>
            <w:tcW w:type="dxa" w:w="10206"/>
            <w:shd w:fill="F2F6F8"/>
          </w:tcPr>
          <w:p>
            <w:pPr>
              <w:spacing w:after="20"/>
              <w:jc w:val="left"/>
            </w:pPr>
            <w:r/>
            <w:r>
              <w:rPr>
                <w:rFonts w:ascii="DejaVu Sans Mono" w:hAnsi="DejaVu Sans Mono" w:cs="DejaVu Sans Mono"/>
                <w:b w:val="0"/>
                <w:color w:val="282828"/>
                <w:sz w:val="18"/>
              </w:rPr>
              <w:t>Risk_Per_Trade = fixed money risk per trade</w:t>
            </w:r>
          </w:p>
          <w:p>
            <w:pPr>
              <w:spacing w:after="20"/>
              <w:jc w:val="left"/>
            </w:pPr>
            <w:r>
              <w:rPr>
                <w:rFonts w:ascii="DejaVu Sans Mono" w:hAnsi="DejaVu Sans Mono" w:cs="DejaVu Sans Mono"/>
                <w:b w:val="0"/>
                <w:color w:val="282828"/>
                <w:sz w:val="18"/>
              </w:rPr>
              <w:t>Stop_Distance = abs(Entry - StopLoss)</w:t>
            </w:r>
          </w:p>
          <w:p>
            <w:pPr>
              <w:spacing w:after="20"/>
              <w:jc w:val="left"/>
            </w:pPr>
            <w:r>
              <w:rPr>
                <w:rFonts w:ascii="DejaVu Sans Mono" w:hAnsi="DejaVu Sans Mono" w:cs="DejaVu Sans Mono"/>
                <w:b w:val="0"/>
                <w:color w:val="282828"/>
                <w:sz w:val="18"/>
              </w:rPr>
              <w:t>Position_Size = Risk_Per_Trade / Stop_Distance</w:t>
            </w:r>
          </w:p>
          <w:p>
            <w:pPr>
              <w:spacing w:after="20"/>
              <w:jc w:val="left"/>
            </w:pPr>
            <w:r>
              <w:rPr>
                <w:rFonts w:ascii="DejaVu Sans Mono" w:hAnsi="DejaVu Sans Mono" w:cs="DejaVu Sans Mono"/>
                <w:b w:val="0"/>
                <w:color w:val="282828"/>
                <w:sz w:val="18"/>
              </w:rPr>
              <w:t>Do not use a fixed lot size when Stop_Distance changes every day</w:t>
            </w:r>
          </w:p>
        </w:tc>
      </w:tr>
    </w:tbl>
    <w:p/>
    <w:p>
      <w:pPr>
        <w:spacing w:after="80" w:line="276" w:lineRule="auto"/>
        <w:jc w:val="right"/>
        <w:bidi w:val="1"/>
      </w:pPr>
      <w:r>
        <w:rPr>
          <w:rFonts w:ascii="Noto Sans Arabic" w:hAnsi="Noto Sans Arabic" w:cs="Noto Sans Arabic"/>
          <w:b w:val="0"/>
          <w:color w:val="373737"/>
          <w:sz w:val="21"/>
        </w:rPr>
        <w:t>نسبة العائد إلى المخاطرة المطلوبة هي 2:1، أي أن الهدف يساوي ضعف وقف الخسارة. إذا كانت المسافة إلى الهدف صغيرة جدًا بسبب السبريد أو العمولة أو ضعف الحركة، يتم تجاهل الصفقة.</w:t>
      </w:r>
    </w:p>
    <w:p>
      <w:pPr>
        <w:spacing w:before="200" w:after="80"/>
        <w:jc w:val="right"/>
        <w:bidi w:val="1"/>
      </w:pPr>
      <w:r>
        <w:rPr>
          <w:rFonts w:ascii="Noto Kufi Arabic" w:hAnsi="Noto Kufi Arabic" w:cs="Noto Kufi Arabic"/>
          <w:b/>
          <w:color w:val="183C69"/>
          <w:sz w:val="30"/>
        </w:rPr>
        <w:t>9. نافذة الدخول الزمنية</w:t>
      </w:r>
    </w:p>
    <w:p>
      <w:pPr>
        <w:spacing w:after="80" w:line="276" w:lineRule="auto"/>
        <w:jc w:val="right"/>
        <w:bidi w:val="1"/>
      </w:pPr>
      <w:r>
        <w:rPr>
          <w:rFonts w:ascii="Noto Sans Arabic" w:hAnsi="Noto Sans Arabic" w:cs="Noto Sans Arabic"/>
          <w:b w:val="0"/>
          <w:color w:val="373737"/>
          <w:sz w:val="21"/>
        </w:rPr>
        <w:t>الاستراتيجية مرتبطة بأول 90 دقيقة من افتتاح السوق. إذا لم يعود السعر إلى حد النطاق خلال هذه الفترة، نلغي الأمر ولا نطارد السعر لاحقًا.</w:t>
      </w:r>
    </w:p>
    <w:tbl>
      <w:tblPr>
        <w:tblW w:type="auto" w:w="0"/>
        <w:jc w:val="center"/>
        <w:tblLayout w:type="autofit"/>
        <w:tblLook w:firstColumn="1" w:firstRow="1" w:lastColumn="0" w:lastRow="0" w:noHBand="0" w:noVBand="1" w:val="04A0"/>
      </w:tblPr>
      <w:tblGrid>
        <w:gridCol w:w="10206"/>
      </w:tblGrid>
      <w:tr>
        <w:tc>
          <w:tcPr>
            <w:tcW w:type="dxa" w:w="10206"/>
            <w:shd w:fill="F2F6F8"/>
          </w:tcPr>
          <w:p>
            <w:pPr>
              <w:spacing w:after="20"/>
              <w:jc w:val="left"/>
            </w:pPr>
            <w:r/>
            <w:r>
              <w:rPr>
                <w:rFonts w:ascii="DejaVu Sans Mono" w:hAnsi="DejaVu Sans Mono" w:cs="DejaVu Sans Mono"/>
                <w:b w:val="0"/>
                <w:color w:val="282828"/>
                <w:sz w:val="18"/>
              </w:rPr>
              <w:t>Entry_Window_Start = market open + 15 minutes</w:t>
            </w:r>
          </w:p>
          <w:p>
            <w:pPr>
              <w:spacing w:after="20"/>
              <w:jc w:val="left"/>
            </w:pPr>
            <w:r>
              <w:rPr>
                <w:rFonts w:ascii="DejaVu Sans Mono" w:hAnsi="DejaVu Sans Mono" w:cs="DejaVu Sans Mono"/>
                <w:b w:val="0"/>
                <w:color w:val="282828"/>
                <w:sz w:val="18"/>
              </w:rPr>
              <w:t>Entry_Window_End = market open + 90 minutes</w:t>
            </w:r>
          </w:p>
          <w:p>
            <w:pPr>
              <w:spacing w:after="20"/>
              <w:jc w:val="left"/>
            </w:pPr>
            <w:r>
              <w:rPr>
                <w:rFonts w:ascii="DejaVu Sans Mono" w:hAnsi="DejaVu Sans Mono" w:cs="DejaVu Sans Mono"/>
                <w:b w:val="0"/>
                <w:color w:val="282828"/>
                <w:sz w:val="18"/>
              </w:rPr>
              <w:t>IF LimitOrder is not filled before Entry_Window_End:</w:t>
            </w:r>
          </w:p>
          <w:p>
            <w:pPr>
              <w:spacing w:after="20"/>
              <w:jc w:val="left"/>
            </w:pPr>
            <w:r>
              <w:rPr>
                <w:rFonts w:ascii="DejaVu Sans Mono" w:hAnsi="DejaVu Sans Mono" w:cs="DejaVu Sans Mono"/>
                <w:b w:val="0"/>
                <w:color w:val="282828"/>
                <w:sz w:val="18"/>
              </w:rPr>
              <w:t xml:space="preserve">    CancelOrder()</w:t>
            </w:r>
          </w:p>
        </w:tc>
      </w:tr>
    </w:tbl>
    <w:p/>
    <w:p>
      <w:pPr>
        <w:spacing w:before="200" w:after="80"/>
        <w:jc w:val="right"/>
        <w:bidi w:val="1"/>
      </w:pPr>
      <w:r>
        <w:rPr>
          <w:rFonts w:ascii="Noto Kufi Arabic" w:hAnsi="Noto Kufi Arabic" w:cs="Noto Kufi Arabic"/>
          <w:b/>
          <w:color w:val="183C69"/>
          <w:sz w:val="30"/>
        </w:rPr>
        <w:t>10. الحالات المحتملة بعد الدخول</w:t>
      </w:r>
    </w:p>
    <w:tbl>
      <w:tblPr>
        <w:tblStyle w:val="TableGrid"/>
        <w:tblW w:type="auto" w:w="0"/>
        <w:jc w:val="center"/>
        <w:tblLook w:firstColumn="1" w:firstRow="1" w:lastColumn="0" w:lastRow="0" w:noHBand="0" w:noVBand="1" w:val="04A0"/>
      </w:tblPr>
      <w:tblGrid>
        <w:gridCol w:w="5103"/>
        <w:gridCol w:w="5103"/>
      </w:tblGrid>
      <w:tr>
        <w:tc>
          <w:tcPr>
            <w:tcW w:type="dxa" w:w="5103"/>
            <w:vAlign w:val="center"/>
            <w:shd w:fill="183C69"/>
          </w:tcPr>
          <w:p>
            <w:pPr>
              <w:jc w:val="right"/>
              <w:bidi w:val="1"/>
            </w:pPr>
            <w:r>
              <w:rPr>
                <w:rFonts w:ascii="Noto Sans Arabic" w:hAnsi="Noto Sans Arabic" w:cs="Noto Sans Arabic"/>
              </w:rPr>
            </w:r>
            <w:r>
              <w:rPr>
                <w:rFonts w:ascii="Noto Sans Arabic" w:hAnsi="Noto Sans Arabic" w:cs="Noto Sans Arabic"/>
                <w:b/>
                <w:color w:val="FFFFFF"/>
                <w:sz w:val="20"/>
              </w:rPr>
              <w:t>الحالة</w:t>
            </w:r>
          </w:p>
        </w:tc>
        <w:tc>
          <w:tcPr>
            <w:tcW w:type="dxa" w:w="5103"/>
            <w:vAlign w:val="center"/>
            <w:shd w:fill="183C69"/>
          </w:tcPr>
          <w:p>
            <w:pPr>
              <w:jc w:val="right"/>
              <w:bidi w:val="1"/>
            </w:pPr>
            <w:r>
              <w:rPr>
                <w:rFonts w:ascii="Noto Sans Arabic" w:hAnsi="Noto Sans Arabic" w:cs="Noto Sans Arabic"/>
              </w:rPr>
            </w:r>
            <w:r>
              <w:rPr>
                <w:rFonts w:ascii="Noto Sans Arabic" w:hAnsi="Noto Sans Arabic" w:cs="Noto Sans Arabic"/>
                <w:b/>
                <w:color w:val="FFFFFF"/>
                <w:sz w:val="20"/>
              </w:rPr>
              <w:t>التفسير</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الحالة 1</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السعر يلمس حد النطاق ثم يرتد إلى الهدف: صفقة رابحة.</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الحالة 2</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السعر يبقى داخل النطاق ويتذبذب: غالبًا يمر على الهدف الداخلي.</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الحالة 3</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السعر ينعكس بالكامل إلى الطرف الآخر من النطاق: الصفقة تحقق الهدف قبل الانعكاس الكبير.</w:t>
            </w:r>
          </w:p>
        </w:tc>
      </w:tr>
      <w:tr>
        <w:tc>
          <w:tcPr>
            <w:tcW w:type="dxa" w:w="5103"/>
            <w:vAlign w:val="center"/>
            <w:shd w:fill="EAF3F2"/>
          </w:tcPr>
          <w:p>
            <w:pPr>
              <w:jc w:val="right"/>
              <w:bidi w:val="1"/>
            </w:pPr>
            <w:r>
              <w:rPr>
                <w:rFonts w:ascii="Noto Sans Arabic" w:hAnsi="Noto Sans Arabic" w:cs="Noto Sans Arabic"/>
              </w:rPr>
            </w:r>
            <w:r>
              <w:rPr>
                <w:rFonts w:ascii="Noto Sans Arabic" w:hAnsi="Noto Sans Arabic" w:cs="Noto Sans Arabic"/>
                <w:b/>
                <w:color w:val="282828"/>
                <w:sz w:val="20"/>
              </w:rPr>
              <w:t>الحالة 4</w:t>
            </w:r>
          </w:p>
        </w:tc>
        <w:tc>
          <w:tcPr>
            <w:tcW w:type="dxa" w:w="5103"/>
            <w:vAlign w:val="center"/>
          </w:tcPr>
          <w:p>
            <w:pPr>
              <w:jc w:val="right"/>
              <w:bidi w:val="1"/>
            </w:pPr>
            <w:r>
              <w:rPr>
                <w:rFonts w:ascii="Noto Sans Arabic" w:hAnsi="Noto Sans Arabic" w:cs="Noto Sans Arabic"/>
              </w:rPr>
            </w:r>
            <w:r>
              <w:rPr>
                <w:rFonts w:ascii="Noto Sans Arabic" w:hAnsi="Noto Sans Arabic" w:cs="Noto Sans Arabic"/>
                <w:b w:val="0"/>
                <w:color w:val="373737"/>
                <w:sz w:val="20"/>
              </w:rPr>
              <w:t>السعر يكسر حد النطاق مباشرة من أول لمس ولا يرتد: صفقة خاسرة.</w:t>
            </w:r>
          </w:p>
        </w:tc>
      </w:tr>
    </w:tbl>
    <w:p/>
    <w:p>
      <w:pPr>
        <w:spacing w:after="80" w:line="276" w:lineRule="auto"/>
        <w:jc w:val="right"/>
        <w:bidi w:val="1"/>
      </w:pPr>
      <w:r>
        <w:rPr>
          <w:rFonts w:ascii="Noto Sans Arabic" w:hAnsi="Noto Sans Arabic" w:cs="Noto Sans Arabic"/>
          <w:b w:val="0"/>
          <w:color w:val="373737"/>
          <w:sz w:val="21"/>
        </w:rPr>
        <w:t>الخسارة الأساسية تحدث عندما يلمس السعر حد النطاق ثم يكمل الاختراق مباشرة بدون ارتداد. لذلك لا توجد استراتيجية مضمونة، ويجب اختبارها على الأصل الذي ستتداوله.</w:t>
      </w:r>
    </w:p>
    <w:p>
      <w:pPr>
        <w:spacing w:before="200" w:after="80"/>
        <w:jc w:val="right"/>
        <w:bidi w:val="1"/>
      </w:pPr>
      <w:r>
        <w:rPr>
          <w:rFonts w:ascii="Noto Kufi Arabic" w:hAnsi="Noto Kufi Arabic" w:cs="Noto Kufi Arabic"/>
          <w:b/>
          <w:color w:val="183C69"/>
          <w:sz w:val="30"/>
        </w:rPr>
        <w:t>11. شروط منع الدخول</w:t>
      </w:r>
    </w:p>
    <w:p>
      <w:pPr>
        <w:spacing w:after="80" w:line="276" w:lineRule="auto"/>
        <w:jc w:val="right"/>
        <w:bidi w:val="1"/>
      </w:pPr>
      <w:r>
        <w:rPr>
          <w:rFonts w:ascii="Noto Sans Arabic" w:hAnsi="Noto Sans Arabic" w:cs="Noto Sans Arabic"/>
          <w:b w:val="0"/>
          <w:color w:val="373737"/>
          <w:sz w:val="21"/>
        </w:rPr>
        <w:t>• أول شمعة 15 دقيقة لم تغلق بعد.</w:t>
      </w:r>
    </w:p>
    <w:p>
      <w:pPr>
        <w:spacing w:after="80" w:line="276" w:lineRule="auto"/>
        <w:jc w:val="right"/>
        <w:bidi w:val="1"/>
      </w:pPr>
      <w:r>
        <w:rPr>
          <w:rFonts w:ascii="Noto Sans Arabic" w:hAnsi="Noto Sans Arabic" w:cs="Noto Sans Arabic"/>
          <w:b w:val="0"/>
          <w:color w:val="373737"/>
          <w:sz w:val="21"/>
        </w:rPr>
        <w:t>• حجم شمعة الافتتاح أقل من 25% من ATR اليومي.</w:t>
      </w:r>
    </w:p>
    <w:p>
      <w:pPr>
        <w:spacing w:after="80" w:line="276" w:lineRule="auto"/>
        <w:jc w:val="right"/>
        <w:bidi w:val="1"/>
      </w:pPr>
      <w:r>
        <w:rPr>
          <w:rFonts w:ascii="Noto Sans Arabic" w:hAnsi="Noto Sans Arabic" w:cs="Noto Sans Arabic"/>
          <w:b w:val="0"/>
          <w:color w:val="373737"/>
          <w:sz w:val="21"/>
        </w:rPr>
        <w:t>• السعر لم يعد إلى طرف النطاق خلال أول 90 دقيقة.</w:t>
      </w:r>
    </w:p>
    <w:p>
      <w:pPr>
        <w:spacing w:after="80" w:line="276" w:lineRule="auto"/>
        <w:jc w:val="right"/>
        <w:bidi w:val="1"/>
      </w:pPr>
      <w:r>
        <w:rPr>
          <w:rFonts w:ascii="Noto Sans Arabic" w:hAnsi="Noto Sans Arabic" w:cs="Noto Sans Arabic"/>
          <w:b w:val="0"/>
          <w:color w:val="373737"/>
          <w:sz w:val="21"/>
        </w:rPr>
        <w:t>• المسافة إلى الهدف صغيرة جدًا مقارنة بالسبريد أو العمولة.</w:t>
      </w:r>
    </w:p>
    <w:p>
      <w:pPr>
        <w:spacing w:after="80" w:line="276" w:lineRule="auto"/>
        <w:jc w:val="right"/>
        <w:bidi w:val="1"/>
      </w:pPr>
      <w:r>
        <w:rPr>
          <w:rFonts w:ascii="Noto Sans Arabic" w:hAnsi="Noto Sans Arabic" w:cs="Noto Sans Arabic"/>
          <w:b w:val="0"/>
          <w:color w:val="373737"/>
          <w:sz w:val="21"/>
        </w:rPr>
        <w:t>• الصفقة لا تحقق Risk:Reward = 1:2 تقريبًا.</w:t>
      </w:r>
    </w:p>
    <w:p>
      <w:pPr>
        <w:spacing w:after="80" w:line="276" w:lineRule="auto"/>
        <w:jc w:val="right"/>
        <w:bidi w:val="1"/>
      </w:pPr>
      <w:r>
        <w:rPr>
          <w:rFonts w:ascii="Noto Sans Arabic" w:hAnsi="Noto Sans Arabic" w:cs="Noto Sans Arabic"/>
          <w:b w:val="0"/>
          <w:color w:val="373737"/>
          <w:sz w:val="21"/>
        </w:rPr>
        <w:t>• وجود خبر قوي جدًا قد يغير السلوك الطبيعي للسوق.</w:t>
      </w:r>
    </w:p>
    <w:p>
      <w:pPr>
        <w:spacing w:after="80" w:line="276" w:lineRule="auto"/>
        <w:jc w:val="right"/>
        <w:bidi w:val="1"/>
      </w:pPr>
      <w:r>
        <w:rPr>
          <w:rFonts w:ascii="Noto Sans Arabic" w:hAnsi="Noto Sans Arabic" w:cs="Noto Sans Arabic"/>
          <w:b w:val="0"/>
          <w:color w:val="373737"/>
          <w:sz w:val="21"/>
        </w:rPr>
        <w:t>• محاولة الدخول Market بدل انتظار Limit عند طرف النطاق دون سبب واضح.</w:t>
      </w:r>
    </w:p>
    <w:p>
      <w:pPr>
        <w:spacing w:before="200" w:after="80"/>
        <w:jc w:val="right"/>
        <w:bidi w:val="1"/>
      </w:pPr>
      <w:r>
        <w:rPr>
          <w:rFonts w:ascii="Noto Kufi Arabic" w:hAnsi="Noto Kufi Arabic" w:cs="Noto Kufi Arabic"/>
          <w:b/>
          <w:color w:val="183C69"/>
          <w:sz w:val="30"/>
        </w:rPr>
        <w:t>12. نسخة مختصرة للمتداول</w:t>
      </w:r>
    </w:p>
    <w:tbl>
      <w:tblPr>
        <w:tblW w:type="auto" w:w="0"/>
        <w:jc w:val="center"/>
        <w:tblLayout w:type="autofit"/>
        <w:tblLook w:firstColumn="1" w:firstRow="1" w:lastColumn="0" w:lastRow="0" w:noHBand="0" w:noVBand="1" w:val="04A0"/>
      </w:tblPr>
      <w:tblGrid>
        <w:gridCol w:w="10206"/>
      </w:tblGrid>
      <w:tr>
        <w:tc>
          <w:tcPr>
            <w:tcW w:type="dxa" w:w="10206"/>
            <w:shd w:fill="F2F6F8"/>
          </w:tcPr>
          <w:p>
            <w:pPr>
              <w:spacing w:after="20"/>
              <w:jc w:val="left"/>
            </w:pPr>
            <w:r/>
            <w:r>
              <w:rPr>
                <w:rFonts w:ascii="DejaVu Sans Mono" w:hAnsi="DejaVu Sans Mono" w:cs="DejaVu Sans Mono"/>
                <w:b w:val="0"/>
                <w:color w:val="282828"/>
                <w:sz w:val="18"/>
              </w:rPr>
              <w:t>1) Wait for the first 15-minute candle to close.</w:t>
            </w:r>
          </w:p>
          <w:p>
            <w:pPr>
              <w:spacing w:after="20"/>
              <w:jc w:val="left"/>
            </w:pPr>
            <w:r>
              <w:rPr>
                <w:rFonts w:ascii="DejaVu Sans Mono" w:hAnsi="DejaVu Sans Mono" w:cs="DejaVu Sans Mono"/>
                <w:b w:val="0"/>
                <w:color w:val="282828"/>
                <w:sz w:val="18"/>
              </w:rPr>
              <w:t>2) Calculate ATR(14) on the daily chart.</w:t>
            </w:r>
          </w:p>
          <w:p>
            <w:pPr>
              <w:spacing w:after="20"/>
              <w:jc w:val="left"/>
            </w:pPr>
            <w:r>
              <w:rPr>
                <w:rFonts w:ascii="DejaVu Sans Mono" w:hAnsi="DejaVu Sans Mono" w:cs="DejaVu Sans Mono"/>
                <w:b w:val="0"/>
                <w:color w:val="282828"/>
                <w:sz w:val="18"/>
              </w:rPr>
              <w:t>3) Confirm Opening_Range_Size &gt;= 25% of Daily ATR.</w:t>
            </w:r>
          </w:p>
          <w:p>
            <w:pPr>
              <w:spacing w:after="20"/>
              <w:jc w:val="left"/>
            </w:pPr>
            <w:r>
              <w:rPr>
                <w:rFonts w:ascii="DejaVu Sans Mono" w:hAnsi="DejaVu Sans Mono" w:cs="DejaVu Sans Mono"/>
                <w:b w:val="0"/>
                <w:color w:val="282828"/>
                <w:sz w:val="18"/>
              </w:rPr>
              <w:t>4) Draw Fibonacci on the opening range.</w:t>
            </w:r>
          </w:p>
          <w:p>
            <w:pPr>
              <w:spacing w:after="20"/>
              <w:jc w:val="left"/>
            </w:pPr>
            <w:r>
              <w:rPr>
                <w:rFonts w:ascii="DejaVu Sans Mono" w:hAnsi="DejaVu Sans Mono" w:cs="DejaVu Sans Mono"/>
                <w:b w:val="0"/>
                <w:color w:val="282828"/>
                <w:sz w:val="18"/>
              </w:rPr>
              <w:t>5) Bearish candle: BuyLimit at Opening_Low, TP = Fib_38_2.</w:t>
            </w:r>
          </w:p>
          <w:p>
            <w:pPr>
              <w:spacing w:after="20"/>
              <w:jc w:val="left"/>
            </w:pPr>
            <w:r>
              <w:rPr>
                <w:rFonts w:ascii="DejaVu Sans Mono" w:hAnsi="DejaVu Sans Mono" w:cs="DejaVu Sans Mono"/>
                <w:b w:val="0"/>
                <w:color w:val="282828"/>
                <w:sz w:val="18"/>
              </w:rPr>
              <w:t>6) Bullish candle: SellLimit at Opening_High, TP = Fib_61_8.</w:t>
            </w:r>
          </w:p>
          <w:p>
            <w:pPr>
              <w:spacing w:after="20"/>
              <w:jc w:val="left"/>
            </w:pPr>
            <w:r>
              <w:rPr>
                <w:rFonts w:ascii="DejaVu Sans Mono" w:hAnsi="DejaVu Sans Mono" w:cs="DejaVu Sans Mono"/>
                <w:b w:val="0"/>
                <w:color w:val="282828"/>
                <w:sz w:val="18"/>
              </w:rPr>
              <w:t>7) Set StopLoss so Reward:Risk is 2:1.</w:t>
            </w:r>
          </w:p>
          <w:p>
            <w:pPr>
              <w:spacing w:after="20"/>
              <w:jc w:val="left"/>
            </w:pPr>
            <w:r>
              <w:rPr>
                <w:rFonts w:ascii="DejaVu Sans Mono" w:hAnsi="DejaVu Sans Mono" w:cs="DejaVu Sans Mono"/>
                <w:b w:val="0"/>
                <w:color w:val="282828"/>
                <w:sz w:val="18"/>
              </w:rPr>
              <w:t>8) Use M1 execution only within the first 90 minutes.</w:t>
            </w:r>
          </w:p>
          <w:p>
            <w:pPr>
              <w:spacing w:after="20"/>
              <w:jc w:val="left"/>
            </w:pPr>
            <w:r>
              <w:rPr>
                <w:rFonts w:ascii="DejaVu Sans Mono" w:hAnsi="DejaVu Sans Mono" w:cs="DejaVu Sans Mono"/>
                <w:b w:val="0"/>
                <w:color w:val="282828"/>
                <w:sz w:val="18"/>
              </w:rPr>
              <w:t>9) If the order is not filled, cancel it.</w:t>
            </w:r>
          </w:p>
        </w:tc>
      </w:tr>
    </w:tbl>
    <w:p/>
    <w:p>
      <w:pPr>
        <w:spacing w:before="200" w:after="80"/>
        <w:jc w:val="right"/>
        <w:bidi w:val="1"/>
      </w:pPr>
      <w:r>
        <w:rPr>
          <w:rFonts w:ascii="Noto Kufi Arabic" w:hAnsi="Noto Kufi Arabic" w:cs="Noto Kufi Arabic"/>
          <w:b/>
          <w:color w:val="183C69"/>
          <w:sz w:val="30"/>
        </w:rPr>
        <w:t>13. نسخة برمجية مختصرة للـ EA</w:t>
      </w:r>
    </w:p>
    <w:tbl>
      <w:tblPr>
        <w:tblW w:type="auto" w:w="0"/>
        <w:jc w:val="center"/>
        <w:tblLayout w:type="autofit"/>
        <w:tblLook w:firstColumn="1" w:firstRow="1" w:lastColumn="0" w:lastRow="0" w:noHBand="0" w:noVBand="1" w:val="04A0"/>
      </w:tblPr>
      <w:tblGrid>
        <w:gridCol w:w="10206"/>
      </w:tblGrid>
      <w:tr>
        <w:tc>
          <w:tcPr>
            <w:tcW w:type="dxa" w:w="10206"/>
            <w:shd w:fill="F2F6F8"/>
          </w:tcPr>
          <w:p>
            <w:pPr>
              <w:spacing w:after="20"/>
              <w:jc w:val="left"/>
            </w:pPr>
            <w:r/>
            <w:r>
              <w:rPr>
                <w:rFonts w:ascii="DejaVu Sans Mono" w:hAnsi="DejaVu Sans Mono" w:cs="DejaVu Sans Mono"/>
                <w:b w:val="0"/>
                <w:color w:val="282828"/>
                <w:sz w:val="18"/>
              </w:rPr>
              <w:t>Inputs:</w:t>
            </w:r>
          </w:p>
          <w:p>
            <w:pPr>
              <w:spacing w:after="20"/>
              <w:jc w:val="left"/>
            </w:pPr>
            <w:r>
              <w:rPr>
                <w:rFonts w:ascii="DejaVu Sans Mono" w:hAnsi="DejaVu Sans Mono" w:cs="DejaVu Sans Mono"/>
                <w:b w:val="0"/>
                <w:color w:val="282828"/>
                <w:sz w:val="18"/>
              </w:rPr>
              <w:t>OpeningTF = M15</w:t>
            </w:r>
          </w:p>
          <w:p>
            <w:pPr>
              <w:spacing w:after="20"/>
              <w:jc w:val="left"/>
            </w:pPr>
            <w:r>
              <w:rPr>
                <w:rFonts w:ascii="DejaVu Sans Mono" w:hAnsi="DejaVu Sans Mono" w:cs="DejaVu Sans Mono"/>
                <w:b w:val="0"/>
                <w:color w:val="282828"/>
                <w:sz w:val="18"/>
              </w:rPr>
              <w:t>ExecutionTF = M1</w:t>
            </w:r>
          </w:p>
          <w:p>
            <w:pPr>
              <w:spacing w:after="20"/>
              <w:jc w:val="left"/>
            </w:pPr>
            <w:r>
              <w:rPr>
                <w:rFonts w:ascii="DejaVu Sans Mono" w:hAnsi="DejaVu Sans Mono" w:cs="DejaVu Sans Mono"/>
                <w:b w:val="0"/>
                <w:color w:val="282828"/>
                <w:sz w:val="18"/>
              </w:rPr>
              <w:t>ATR_Period = 14</w:t>
            </w:r>
          </w:p>
          <w:p>
            <w:pPr>
              <w:spacing w:after="20"/>
              <w:jc w:val="left"/>
            </w:pPr>
            <w:r>
              <w:rPr>
                <w:rFonts w:ascii="DejaVu Sans Mono" w:hAnsi="DejaVu Sans Mono" w:cs="DejaVu Sans Mono"/>
                <w:b w:val="0"/>
                <w:color w:val="282828"/>
                <w:sz w:val="18"/>
              </w:rPr>
              <w:t>LiquidityRatio = 0.25</w:t>
            </w:r>
          </w:p>
          <w:p>
            <w:pPr>
              <w:spacing w:after="20"/>
              <w:jc w:val="left"/>
            </w:pPr>
            <w:r>
              <w:rPr>
                <w:rFonts w:ascii="DejaVu Sans Mono" w:hAnsi="DejaVu Sans Mono" w:cs="DejaVu Sans Mono"/>
                <w:b w:val="0"/>
                <w:color w:val="282828"/>
                <w:sz w:val="18"/>
              </w:rPr>
              <w:t>EntryWindowMinutes = 90</w:t>
            </w:r>
          </w:p>
          <w:p>
            <w:pPr>
              <w:spacing w:after="20"/>
              <w:jc w:val="left"/>
            </w:pPr>
            <w:r>
              <w:rPr>
                <w:rFonts w:ascii="DejaVu Sans Mono" w:hAnsi="DejaVu Sans Mono" w:cs="DejaVu Sans Mono"/>
                <w:b w:val="0"/>
                <w:color w:val="282828"/>
                <w:sz w:val="18"/>
              </w:rPr>
              <w:t>RR = 2.0</w:t>
            </w:r>
          </w:p>
          <w:p>
            <w:pPr>
              <w:spacing w:after="20"/>
              <w:jc w:val="left"/>
            </w:pPr>
            <w:r>
              <w:rPr>
                <w:rFonts w:ascii="DejaVu Sans Mono" w:hAnsi="DejaVu Sans Mono" w:cs="DejaVu Sans Mono"/>
                <w:b w:val="0"/>
                <w:color w:val="282828"/>
                <w:sz w:val="18"/>
              </w:rPr>
            </w:r>
          </w:p>
          <w:p>
            <w:pPr>
              <w:spacing w:after="20"/>
              <w:jc w:val="left"/>
            </w:pPr>
            <w:r>
              <w:rPr>
                <w:rFonts w:ascii="DejaVu Sans Mono" w:hAnsi="DejaVu Sans Mono" w:cs="DejaVu Sans Mono"/>
                <w:b w:val="0"/>
                <w:color w:val="282828"/>
                <w:sz w:val="18"/>
              </w:rPr>
              <w:t>Logic:</w:t>
            </w:r>
          </w:p>
          <w:p>
            <w:pPr>
              <w:spacing w:after="20"/>
              <w:jc w:val="left"/>
            </w:pPr>
            <w:r>
              <w:rPr>
                <w:rFonts w:ascii="DejaVu Sans Mono" w:hAnsi="DejaVu Sans Mono" w:cs="DejaVu Sans Mono"/>
                <w:b w:val="0"/>
                <w:color w:val="282828"/>
                <w:sz w:val="18"/>
              </w:rPr>
              <w:t>At market open + 15 minutes:</w:t>
            </w:r>
          </w:p>
          <w:p>
            <w:pPr>
              <w:spacing w:after="20"/>
              <w:jc w:val="left"/>
            </w:pPr>
            <w:r>
              <w:rPr>
                <w:rFonts w:ascii="DejaVu Sans Mono" w:hAnsi="DejaVu Sans Mono" w:cs="DejaVu Sans Mono"/>
                <w:b w:val="0"/>
                <w:color w:val="282828"/>
                <w:sz w:val="18"/>
              </w:rPr>
              <w:t xml:space="preserve">  OR_High = High(first M15 candle)</w:t>
            </w:r>
          </w:p>
          <w:p>
            <w:pPr>
              <w:spacing w:after="20"/>
              <w:jc w:val="left"/>
            </w:pPr>
            <w:r>
              <w:rPr>
                <w:rFonts w:ascii="DejaVu Sans Mono" w:hAnsi="DejaVu Sans Mono" w:cs="DejaVu Sans Mono"/>
                <w:b w:val="0"/>
                <w:color w:val="282828"/>
                <w:sz w:val="18"/>
              </w:rPr>
              <w:t xml:space="preserve">  OR_Low  = Low(first M15 candle)</w:t>
            </w:r>
          </w:p>
          <w:p>
            <w:pPr>
              <w:spacing w:after="20"/>
              <w:jc w:val="left"/>
            </w:pPr>
            <w:r>
              <w:rPr>
                <w:rFonts w:ascii="DejaVu Sans Mono" w:hAnsi="DejaVu Sans Mono" w:cs="DejaVu Sans Mono"/>
                <w:b w:val="0"/>
                <w:color w:val="282828"/>
                <w:sz w:val="18"/>
              </w:rPr>
              <w:t xml:space="preserve">  OR_Size = OR_High - OR_Low</w:t>
            </w:r>
          </w:p>
          <w:p>
            <w:pPr>
              <w:spacing w:after="20"/>
              <w:jc w:val="left"/>
            </w:pPr>
            <w:r>
              <w:rPr>
                <w:rFonts w:ascii="DejaVu Sans Mono" w:hAnsi="DejaVu Sans Mono" w:cs="DejaVu Sans Mono"/>
                <w:b w:val="0"/>
                <w:color w:val="282828"/>
                <w:sz w:val="18"/>
              </w:rPr>
              <w:t xml:space="preserve">  DailyATR = ATR(D1, 14)</w:t>
            </w:r>
          </w:p>
          <w:p>
            <w:pPr>
              <w:spacing w:after="20"/>
              <w:jc w:val="left"/>
            </w:pPr>
            <w:r>
              <w:rPr>
                <w:rFonts w:ascii="DejaVu Sans Mono" w:hAnsi="DejaVu Sans Mono" w:cs="DejaVu Sans Mono"/>
                <w:b w:val="0"/>
                <w:color w:val="282828"/>
                <w:sz w:val="18"/>
              </w:rPr>
              <w:t xml:space="preserve">  IF OR_Size &lt; DailyATR * 0.25: NoTrade</w:t>
            </w:r>
          </w:p>
          <w:p>
            <w:pPr>
              <w:spacing w:after="20"/>
              <w:jc w:val="left"/>
            </w:pPr>
            <w:r>
              <w:rPr>
                <w:rFonts w:ascii="DejaVu Sans Mono" w:hAnsi="DejaVu Sans Mono" w:cs="DejaVu Sans Mono"/>
                <w:b w:val="0"/>
                <w:color w:val="282828"/>
                <w:sz w:val="18"/>
              </w:rPr>
              <w:t xml:space="preserve">  IF candle is bearish:</w:t>
            </w:r>
          </w:p>
          <w:p>
            <w:pPr>
              <w:spacing w:after="20"/>
              <w:jc w:val="left"/>
            </w:pPr>
            <w:r>
              <w:rPr>
                <w:rFonts w:ascii="DejaVu Sans Mono" w:hAnsi="DejaVu Sans Mono" w:cs="DejaVu Sans Mono"/>
                <w:b w:val="0"/>
                <w:color w:val="282828"/>
                <w:sz w:val="18"/>
              </w:rPr>
              <w:t xml:space="preserve">     Entry = OR_Low</w:t>
            </w:r>
          </w:p>
          <w:p>
            <w:pPr>
              <w:spacing w:after="20"/>
              <w:jc w:val="left"/>
            </w:pPr>
            <w:r>
              <w:rPr>
                <w:rFonts w:ascii="DejaVu Sans Mono" w:hAnsi="DejaVu Sans Mono" w:cs="DejaVu Sans Mono"/>
                <w:b w:val="0"/>
                <w:color w:val="282828"/>
                <w:sz w:val="18"/>
              </w:rPr>
              <w:t xml:space="preserve">     TP = Fib_38_2 level inside range</w:t>
            </w:r>
          </w:p>
          <w:p>
            <w:pPr>
              <w:spacing w:after="20"/>
              <w:jc w:val="left"/>
            </w:pPr>
            <w:r>
              <w:rPr>
                <w:rFonts w:ascii="DejaVu Sans Mono" w:hAnsi="DejaVu Sans Mono" w:cs="DejaVu Sans Mono"/>
                <w:b w:val="0"/>
                <w:color w:val="282828"/>
                <w:sz w:val="18"/>
              </w:rPr>
              <w:t xml:space="preserve">     SL = Entry - ((TP - Entry) / RR)</w:t>
            </w:r>
          </w:p>
          <w:p>
            <w:pPr>
              <w:spacing w:after="20"/>
              <w:jc w:val="left"/>
            </w:pPr>
            <w:r>
              <w:rPr>
                <w:rFonts w:ascii="DejaVu Sans Mono" w:hAnsi="DejaVu Sans Mono" w:cs="DejaVu Sans Mono"/>
                <w:b w:val="0"/>
                <w:color w:val="282828"/>
                <w:sz w:val="18"/>
              </w:rPr>
              <w:t xml:space="preserve">     Place BuyLimit</w:t>
            </w:r>
          </w:p>
          <w:p>
            <w:pPr>
              <w:spacing w:after="20"/>
              <w:jc w:val="left"/>
            </w:pPr>
            <w:r>
              <w:rPr>
                <w:rFonts w:ascii="DejaVu Sans Mono" w:hAnsi="DejaVu Sans Mono" w:cs="DejaVu Sans Mono"/>
                <w:b w:val="0"/>
                <w:color w:val="282828"/>
                <w:sz w:val="18"/>
              </w:rPr>
              <w:t xml:space="preserve">  IF candle is bullish:</w:t>
            </w:r>
          </w:p>
          <w:p>
            <w:pPr>
              <w:spacing w:after="20"/>
              <w:jc w:val="left"/>
            </w:pPr>
            <w:r>
              <w:rPr>
                <w:rFonts w:ascii="DejaVu Sans Mono" w:hAnsi="DejaVu Sans Mono" w:cs="DejaVu Sans Mono"/>
                <w:b w:val="0"/>
                <w:color w:val="282828"/>
                <w:sz w:val="18"/>
              </w:rPr>
              <w:t xml:space="preserve">     Entry = OR_High</w:t>
            </w:r>
          </w:p>
          <w:p>
            <w:pPr>
              <w:spacing w:after="20"/>
              <w:jc w:val="left"/>
            </w:pPr>
            <w:r>
              <w:rPr>
                <w:rFonts w:ascii="DejaVu Sans Mono" w:hAnsi="DejaVu Sans Mono" w:cs="DejaVu Sans Mono"/>
                <w:b w:val="0"/>
                <w:color w:val="282828"/>
                <w:sz w:val="18"/>
              </w:rPr>
              <w:t xml:space="preserve">     TP = Fib_61_8 level inside range</w:t>
            </w:r>
          </w:p>
          <w:p>
            <w:pPr>
              <w:spacing w:after="20"/>
              <w:jc w:val="left"/>
            </w:pPr>
            <w:r>
              <w:rPr>
                <w:rFonts w:ascii="DejaVu Sans Mono" w:hAnsi="DejaVu Sans Mono" w:cs="DejaVu Sans Mono"/>
                <w:b w:val="0"/>
                <w:color w:val="282828"/>
                <w:sz w:val="18"/>
              </w:rPr>
              <w:t xml:space="preserve">     SL = Entry + ((Entry - TP) / RR)</w:t>
            </w:r>
          </w:p>
          <w:p>
            <w:pPr>
              <w:spacing w:after="20"/>
              <w:jc w:val="left"/>
            </w:pPr>
            <w:r>
              <w:rPr>
                <w:rFonts w:ascii="DejaVu Sans Mono" w:hAnsi="DejaVu Sans Mono" w:cs="DejaVu Sans Mono"/>
                <w:b w:val="0"/>
                <w:color w:val="282828"/>
                <w:sz w:val="18"/>
              </w:rPr>
              <w:t xml:space="preserve">     Place SellLimit</w:t>
            </w:r>
          </w:p>
          <w:p>
            <w:pPr>
              <w:spacing w:after="20"/>
              <w:jc w:val="left"/>
            </w:pPr>
            <w:r>
              <w:rPr>
                <w:rFonts w:ascii="DejaVu Sans Mono" w:hAnsi="DejaVu Sans Mono" w:cs="DejaVu Sans Mono"/>
                <w:b w:val="0"/>
                <w:color w:val="282828"/>
                <w:sz w:val="18"/>
              </w:rPr>
              <w:t xml:space="preserve">  Cancel pending order after 90 minutes from market open.</w:t>
            </w:r>
          </w:p>
        </w:tc>
      </w:tr>
    </w:tbl>
    <w:p/>
    <w:p>
      <w:pPr>
        <w:spacing w:before="200" w:after="80"/>
        <w:jc w:val="right"/>
        <w:bidi w:val="1"/>
      </w:pPr>
      <w:r>
        <w:rPr>
          <w:rFonts w:ascii="Noto Kufi Arabic" w:hAnsi="Noto Kufi Arabic" w:cs="Noto Kufi Arabic"/>
          <w:b/>
          <w:color w:val="183C69"/>
          <w:sz w:val="30"/>
        </w:rPr>
        <w:t>14. ملاحظات مهمة</w:t>
      </w:r>
    </w:p>
    <w:p>
      <w:pPr>
        <w:spacing w:after="80" w:line="276" w:lineRule="auto"/>
        <w:jc w:val="right"/>
        <w:bidi w:val="1"/>
      </w:pPr>
      <w:r>
        <w:rPr>
          <w:rFonts w:ascii="Noto Sans Arabic" w:hAnsi="Noto Sans Arabic" w:cs="Noto Sans Arabic"/>
          <w:b w:val="0"/>
          <w:color w:val="373737"/>
          <w:sz w:val="21"/>
        </w:rPr>
        <w:t>هذه الاستراتيجية ميكانيكية وسهلة الاختبار، لكنها ليست ضمانًا للربح. يجب تقييمها بشكل دوري على الأصل المالي المستخدم، لأن فعاليتها قد تختلف بين الأسهم، المؤشرات، الذهب، العملات، والعملات الرقمية.</w:t>
      </w:r>
    </w:p>
    <w:p>
      <w:pPr>
        <w:spacing w:after="80" w:line="276" w:lineRule="auto"/>
        <w:jc w:val="right"/>
        <w:bidi w:val="1"/>
      </w:pPr>
      <w:r>
        <w:rPr>
          <w:rFonts w:ascii="Noto Sans Arabic" w:hAnsi="Noto Sans Arabic" w:cs="Noto Sans Arabic"/>
          <w:b w:val="0"/>
          <w:color w:val="373737"/>
          <w:sz w:val="21"/>
        </w:rPr>
        <w:t>أفضل استخدام لها يكون عندما تكون السيولة عالية في بداية الجلسة، خصوصًا على الأصول التي تتحرك بقوة في أول 90 دقيقة من الافتتاح.</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Sans Arabic" w:hAnsi="Noto Sans Arabic" w:cs="Noto Sans Arabic"/>
        <w:b w:val="0"/>
        <w:color w:val="787878"/>
        <w:sz w:val="17"/>
      </w:rPr>
      <w:t>استراتيجية لمس نطاق الافتتاح والارتداد | ملف مستقل</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