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b/>
          <w:color w:val="183C69"/>
          <w:sz w:val="40"/>
        </w:rPr>
        <w:t>استراتيجية صندوق السيولة اليومي وشمعة الشوكة</w:t>
      </w:r>
    </w:p>
    <w:p>
      <w:pPr>
        <w:jc w:val="right"/>
        <w:bidi w:val="1"/>
      </w:pPr>
      <w:r>
        <w:rPr>
          <w:rFonts w:ascii="Arial" w:hAnsi="Arial" w:cs="Arial"/>
          <w:b/>
          <w:color w:val="2CADA8"/>
          <w:sz w:val="24"/>
        </w:rPr>
        <w:t>Daily Liquidity Box + Pitchfork Candle Confirmation</w:t>
      </w:r>
    </w:p>
    <w:p>
      <w:pPr>
        <w:spacing w:after="120" w:line="276" w:lineRule="auto"/>
        <w:jc w:val="right"/>
        <w:bidi w:val="1"/>
      </w:pPr>
      <w:r>
        <w:rPr>
          <w:rFonts w:ascii="Arial" w:hAnsi="Arial" w:cs="Arial"/>
          <w:b w:val="0"/>
          <w:color w:val="575757"/>
          <w:sz w:val="21"/>
        </w:rPr>
        <w:t>ملف مستقل لتنظيم الاستراتيجية وتحويلها من شرح فيديو إلى قواعد تداول قابلة للتطبيق اليدوي أو البرمجي.</w:t>
      </w:r>
    </w:p>
    <w:tbl>
      <w:tblPr>
        <w:tblStyle w:val="TableGrid"/>
        <w:tblW w:type="auto" w:w="0"/>
        <w:jc w:val="center"/>
        <w:tblLook w:firstColumn="1" w:firstRow="1" w:lastColumn="0" w:lastRow="0" w:noHBand="0" w:noVBand="1" w:val="04A0"/>
      </w:tblPr>
      <w:tblGrid>
        <w:gridCol w:w="5213"/>
        <w:gridCol w:w="5213"/>
      </w:tblGrid>
      <w:tr>
        <w:tc>
          <w:tcPr>
            <w:tcW w:type="dxa" w:w="5213"/>
            <w:vAlign w:val="center"/>
            <w:shd w:fill="183C69"/>
          </w:tcPr>
          <w:p>
            <w:pPr>
              <w:jc w:val="right"/>
              <w:bidi w:val="1"/>
            </w:pPr>
            <w:r/>
            <w:r>
              <w:rPr>
                <w:rFonts w:ascii="Arial" w:hAnsi="Arial" w:cs="Arial"/>
                <w:b/>
                <w:color w:val="FFFFFF"/>
                <w:sz w:val="20"/>
              </w:rPr>
              <w:t>البند</w:t>
            </w:r>
          </w:p>
        </w:tc>
        <w:tc>
          <w:tcPr>
            <w:tcW w:type="dxa" w:w="5213"/>
            <w:vAlign w:val="center"/>
            <w:shd w:fill="183C69"/>
          </w:tcPr>
          <w:p>
            <w:pPr>
              <w:jc w:val="right"/>
              <w:bidi w:val="1"/>
            </w:pPr>
            <w:r/>
            <w:r>
              <w:rPr>
                <w:rFonts w:ascii="Arial" w:hAnsi="Arial" w:cs="Arial"/>
                <w:b/>
                <w:color w:val="FFFFFF"/>
                <w:sz w:val="20"/>
              </w:rPr>
              <w:t>التفاصيل</w:t>
            </w:r>
          </w:p>
        </w:tc>
      </w:tr>
      <w:tr>
        <w:tc>
          <w:tcPr>
            <w:tcW w:type="dxa" w:w="5213"/>
            <w:vAlign w:val="center"/>
          </w:tcPr>
          <w:p>
            <w:pPr>
              <w:jc w:val="right"/>
              <w:bidi w:val="1"/>
            </w:pPr>
            <w:r/>
            <w:r>
              <w:rPr>
                <w:rFonts w:ascii="Arial" w:hAnsi="Arial" w:cs="Arial"/>
                <w:b/>
                <w:sz w:val="20"/>
              </w:rPr>
              <w:t>اسم الاستراتيجية</w:t>
            </w:r>
          </w:p>
        </w:tc>
        <w:tc>
          <w:tcPr>
            <w:tcW w:type="dxa" w:w="5213"/>
            <w:vAlign w:val="center"/>
          </w:tcPr>
          <w:p>
            <w:pPr>
              <w:jc w:val="right"/>
              <w:bidi w:val="1"/>
            </w:pPr>
            <w:r/>
            <w:r>
              <w:rPr>
                <w:rFonts w:ascii="Arial" w:hAnsi="Arial" w:cs="Arial"/>
                <w:b w:val="0"/>
                <w:sz w:val="20"/>
              </w:rPr>
              <w:t>استراتيجية صندوق السيولة اليومي وشمعة الشوكة</w:t>
            </w:r>
          </w:p>
        </w:tc>
      </w:tr>
      <w:tr>
        <w:tc>
          <w:tcPr>
            <w:tcW w:type="dxa" w:w="5213"/>
            <w:vAlign w:val="center"/>
          </w:tcPr>
          <w:p>
            <w:pPr>
              <w:jc w:val="right"/>
              <w:bidi w:val="1"/>
            </w:pPr>
            <w:r/>
            <w:r>
              <w:rPr>
                <w:rFonts w:ascii="Arial" w:hAnsi="Arial" w:cs="Arial"/>
                <w:b/>
                <w:sz w:val="20"/>
              </w:rPr>
              <w:t>الفكرة المختصرة</w:t>
            </w:r>
          </w:p>
        </w:tc>
        <w:tc>
          <w:tcPr>
            <w:tcW w:type="dxa" w:w="5213"/>
            <w:vAlign w:val="center"/>
          </w:tcPr>
          <w:p>
            <w:pPr>
              <w:jc w:val="right"/>
              <w:bidi w:val="1"/>
            </w:pPr>
            <w:r/>
            <w:r>
              <w:rPr>
                <w:rFonts w:ascii="Arial" w:hAnsi="Arial" w:cs="Arial"/>
                <w:b w:val="0"/>
                <w:sz w:val="20"/>
              </w:rPr>
              <w:t>لا نتنبأ بالاتجاه من منتصف الشارت؛ نتمركز عند قمة أو قاع اليوم السابق ثم ننتظر شمعة تأكيد قبل الدخول.</w:t>
            </w:r>
          </w:p>
        </w:tc>
      </w:tr>
      <w:tr>
        <w:tc>
          <w:tcPr>
            <w:tcW w:type="dxa" w:w="5213"/>
            <w:vAlign w:val="center"/>
          </w:tcPr>
          <w:p>
            <w:pPr>
              <w:jc w:val="right"/>
              <w:bidi w:val="1"/>
            </w:pPr>
            <w:r/>
            <w:r>
              <w:rPr>
                <w:rFonts w:ascii="Arial" w:hAnsi="Arial" w:cs="Arial"/>
                <w:b/>
                <w:sz w:val="20"/>
              </w:rPr>
              <w:t>الفريم الرئيسي للرسم</w:t>
            </w:r>
          </w:p>
        </w:tc>
        <w:tc>
          <w:tcPr>
            <w:tcW w:type="dxa" w:w="5213"/>
            <w:vAlign w:val="center"/>
          </w:tcPr>
          <w:p>
            <w:pPr>
              <w:jc w:val="right"/>
              <w:bidi w:val="1"/>
            </w:pPr>
            <w:r/>
            <w:r>
              <w:rPr>
                <w:rFonts w:ascii="Arial" w:hAnsi="Arial" w:cs="Arial"/>
                <w:b w:val="0"/>
                <w:sz w:val="20"/>
              </w:rPr>
              <w:t>Daily لتحديد قمة وقاع اليوم السابق.</w:t>
            </w:r>
          </w:p>
        </w:tc>
      </w:tr>
      <w:tr>
        <w:tc>
          <w:tcPr>
            <w:tcW w:type="dxa" w:w="5213"/>
            <w:vAlign w:val="center"/>
          </w:tcPr>
          <w:p>
            <w:pPr>
              <w:jc w:val="right"/>
              <w:bidi w:val="1"/>
            </w:pPr>
            <w:r/>
            <w:r>
              <w:rPr>
                <w:rFonts w:ascii="Arial" w:hAnsi="Arial" w:cs="Arial"/>
                <w:b/>
                <w:sz w:val="20"/>
              </w:rPr>
              <w:t>فريم التنفيذ المفضل</w:t>
            </w:r>
          </w:p>
        </w:tc>
        <w:tc>
          <w:tcPr>
            <w:tcW w:type="dxa" w:w="5213"/>
            <w:vAlign w:val="center"/>
          </w:tcPr>
          <w:p>
            <w:pPr>
              <w:jc w:val="right"/>
              <w:bidi w:val="1"/>
            </w:pPr>
            <w:r/>
            <w:r>
              <w:rPr>
                <w:rFonts w:ascii="Arial" w:hAnsi="Arial" w:cs="Arial"/>
                <w:b w:val="0"/>
                <w:sz w:val="20"/>
              </w:rPr>
              <w:t>M5 حسب الشرح، ويمكن تكييفه حسب الأصل والسيولة.</w:t>
            </w:r>
          </w:p>
        </w:tc>
      </w:tr>
      <w:tr>
        <w:tc>
          <w:tcPr>
            <w:tcW w:type="dxa" w:w="5213"/>
            <w:vAlign w:val="center"/>
          </w:tcPr>
          <w:p>
            <w:pPr>
              <w:jc w:val="right"/>
              <w:bidi w:val="1"/>
            </w:pPr>
            <w:r/>
            <w:r>
              <w:rPr>
                <w:rFonts w:ascii="Arial" w:hAnsi="Arial" w:cs="Arial"/>
                <w:b/>
                <w:sz w:val="20"/>
              </w:rPr>
              <w:t>نوع الاستراتيجية</w:t>
            </w:r>
          </w:p>
        </w:tc>
        <w:tc>
          <w:tcPr>
            <w:tcW w:type="dxa" w:w="5213"/>
            <w:vAlign w:val="center"/>
          </w:tcPr>
          <w:p>
            <w:pPr>
              <w:jc w:val="right"/>
              <w:bidi w:val="1"/>
            </w:pPr>
            <w:r/>
            <w:r>
              <w:rPr>
                <w:rFonts w:ascii="Arial" w:hAnsi="Arial" w:cs="Arial"/>
                <w:b w:val="0"/>
                <w:sz w:val="20"/>
              </w:rPr>
              <w:t>انعكاس من مناطق سيولة يومية + تأكيد شموع.</w:t>
            </w:r>
          </w:p>
        </w:tc>
      </w:tr>
      <w:tr>
        <w:tc>
          <w:tcPr>
            <w:tcW w:type="dxa" w:w="5213"/>
            <w:vAlign w:val="center"/>
          </w:tcPr>
          <w:p>
            <w:pPr>
              <w:jc w:val="right"/>
              <w:bidi w:val="1"/>
            </w:pPr>
            <w:r/>
            <w:r>
              <w:rPr>
                <w:rFonts w:ascii="Arial" w:hAnsi="Arial" w:cs="Arial"/>
                <w:b/>
                <w:sz w:val="20"/>
              </w:rPr>
              <w:t>الاسم الإنجليزي</w:t>
            </w:r>
          </w:p>
        </w:tc>
        <w:tc>
          <w:tcPr>
            <w:tcW w:type="dxa" w:w="5213"/>
            <w:vAlign w:val="center"/>
          </w:tcPr>
          <w:p>
            <w:pPr>
              <w:jc w:val="right"/>
              <w:bidi w:val="1"/>
            </w:pPr>
            <w:r/>
            <w:r>
              <w:rPr>
                <w:rFonts w:ascii="Arial" w:hAnsi="Arial" w:cs="Arial"/>
                <w:b w:val="0"/>
                <w:sz w:val="20"/>
              </w:rPr>
              <w:t>Daily Liquidity Box + Pitchfork Candle Confirmation</w:t>
            </w:r>
          </w:p>
        </w:tc>
      </w:tr>
    </w:tbl>
    <w:p/>
    <w:p>
      <w:pPr>
        <w:spacing w:before="200" w:after="100"/>
        <w:jc w:val="right"/>
        <w:bidi w:val="1"/>
      </w:pPr>
      <w:r>
        <w:rPr>
          <w:rFonts w:ascii="Arial" w:hAnsi="Arial" w:cs="Arial"/>
          <w:b/>
          <w:color w:val="183C69"/>
          <w:sz w:val="32"/>
        </w:rPr>
        <w:t>1. الفكرة العامة</w:t>
      </w:r>
    </w:p>
    <w:p>
      <w:pPr>
        <w:spacing w:after="120" w:line="276" w:lineRule="auto"/>
        <w:jc w:val="right"/>
        <w:bidi w:val="1"/>
      </w:pPr>
      <w:r>
        <w:rPr>
          <w:rFonts w:ascii="Arial" w:hAnsi="Arial" w:cs="Arial"/>
          <w:b w:val="0"/>
          <w:sz w:val="22"/>
        </w:rPr>
        <w:t>الاستراتيجية مبنية على مبدأ بسيط: المشكلة ليست في نقص المؤشرات، بل في غياب الهيكل. بدل أن نحاول توقع الاتجاه من أي مكان، نحدد مسبقًا أماكن السيولة الأقوى على الشارت، وهي قمة اليوم السابق وقاع اليوم السابق، ثم ننتظر تأكيدًا واضحًا من الشموع قبل الدخول.</w:t>
      </w:r>
    </w:p>
    <w:p>
      <w:pPr>
        <w:spacing w:after="120" w:line="276" w:lineRule="auto"/>
        <w:jc w:val="right"/>
        <w:bidi w:val="1"/>
      </w:pPr>
      <w:r>
        <w:rPr>
          <w:rFonts w:ascii="Arial" w:hAnsi="Arial" w:cs="Arial"/>
          <w:b w:val="0"/>
          <w:sz w:val="22"/>
        </w:rPr>
        <w:t>قمة اليوم السابق تمثل منطقة بيع مؤسسية محتملة، لأن كثيرًا من المتداولين يطاردون الاختراق عندها، وتوجد فوقها سيولة وقف خسائر وأوامر دخول. قاع اليوم السابق يمثل منطقة شراء مؤسسية محتملة، لأن الهبوط إليها يجذب بائعي الانهيار ويجمع سيولة يمكن أن يستخدمها المشترون الكبار لعكس السعر.</w:t>
      </w:r>
    </w:p>
    <w:tbl>
      <w:tblPr>
        <w:tblStyle w:val="TableGrid"/>
        <w:tblW w:type="auto" w:w="0"/>
        <w:jc w:val="center"/>
        <w:tblLook w:firstColumn="1" w:firstRow="1" w:lastColumn="0" w:lastRow="0" w:noHBand="0" w:noVBand="1" w:val="04A0"/>
      </w:tblPr>
      <w:tblGrid>
        <w:gridCol w:w="10426"/>
      </w:tblGrid>
      <w:tr>
        <w:tc>
          <w:tcPr>
            <w:tcW w:type="dxa" w:w="10426"/>
            <w:shd w:fill="F3F7FA"/>
          </w:tcPr>
          <w:p>
            <w:pPr>
              <w:jc w:val="right"/>
              <w:bidi w:val="1"/>
            </w:pPr>
            <w:r>
              <w:rPr>
                <w:rFonts w:ascii="Arial" w:hAnsi="Arial" w:cs="Arial"/>
                <w:b/>
                <w:color w:val="183C69"/>
                <w:sz w:val="22"/>
              </w:rPr>
              <w:t>قاعدة مركزية</w:t>
            </w:r>
          </w:p>
          <w:p>
            <w:pPr>
              <w:spacing w:after="40"/>
              <w:jc w:val="right"/>
              <w:bidi w:val="1"/>
            </w:pPr>
            <w:r>
              <w:rPr>
                <w:rFonts w:ascii="Arial" w:hAnsi="Arial" w:cs="Arial"/>
                <w:b w:val="0"/>
                <w:sz w:val="20"/>
              </w:rPr>
              <w:t>Prediction gets punished. Positioning wins.</w:t>
            </w:r>
          </w:p>
          <w:p>
            <w:pPr>
              <w:spacing w:after="40"/>
              <w:jc w:val="right"/>
              <w:bidi w:val="1"/>
            </w:pPr>
            <w:r>
              <w:rPr>
                <w:rFonts w:ascii="Arial" w:hAnsi="Arial" w:cs="Arial"/>
                <w:b w:val="0"/>
                <w:sz w:val="20"/>
              </w:rPr>
              <w:t>التنبؤ من منتصف الشارت خطر. التمركز عند مناطق السيولة هو أساس الاستراتيجية.</w:t>
            </w:r>
          </w:p>
        </w:tc>
      </w:tr>
    </w:tbl>
    <w:p/>
    <w:p>
      <w:pPr>
        <w:spacing w:before="200" w:after="100"/>
        <w:jc w:val="right"/>
        <w:bidi w:val="1"/>
      </w:pPr>
      <w:r>
        <w:rPr>
          <w:rFonts w:ascii="Arial" w:hAnsi="Arial" w:cs="Arial"/>
          <w:b/>
          <w:color w:val="183C69"/>
          <w:sz w:val="32"/>
        </w:rPr>
        <w:t>2. الاسم المعتمد ومعناه</w:t>
      </w:r>
    </w:p>
    <w:p>
      <w:pPr>
        <w:spacing w:after="120" w:line="276" w:lineRule="auto"/>
        <w:jc w:val="right"/>
        <w:bidi w:val="1"/>
      </w:pPr>
      <w:r>
        <w:rPr>
          <w:rFonts w:ascii="Arial" w:hAnsi="Arial" w:cs="Arial"/>
          <w:b w:val="0"/>
          <w:sz w:val="22"/>
        </w:rPr>
        <w:t>الاسم المعتمد: استراتيجية صندوق السيولة اليومي وشمعة الشوكة.</w:t>
      </w:r>
    </w:p>
    <w:p>
      <w:pPr>
        <w:spacing w:after="120" w:line="276" w:lineRule="auto"/>
        <w:jc w:val="right"/>
        <w:bidi w:val="1"/>
      </w:pPr>
      <w:r>
        <w:rPr>
          <w:rFonts w:ascii="Arial" w:hAnsi="Arial" w:cs="Arial"/>
          <w:b w:val="0"/>
          <w:sz w:val="22"/>
        </w:rPr>
        <w:t>اخترت هذا الاسم لأن الاستراتيجية تبدأ بصندوق يومي يتم رسمه من قمة وقاع اليوم السابق، ثم لا تسمح بالدخول إلا بعد تأكيد شمعة الشوكة؛ أي شمعة انعكاس أولى يليها كسر للهاي أو اللو حسب اتجاه الصفقة.</w:t>
      </w:r>
    </w:p>
    <w:p>
      <w:pPr>
        <w:spacing w:after="120" w:line="276" w:lineRule="auto"/>
        <w:jc w:val="right"/>
        <w:bidi w:val="1"/>
      </w:pPr>
      <w:r>
        <w:rPr>
          <w:rFonts w:ascii="Arial" w:hAnsi="Arial" w:cs="Arial"/>
          <w:b w:val="0"/>
          <w:sz w:val="22"/>
        </w:rPr>
        <w:t>هذا الاسم يميزها عن استراتيجية الصندوقين والشمعة الحاسمة؛ لأن هذه الاستراتيجية تعتمد على صندوق واحد أساسي من اليوم السابق، وليست على صندوق كبير وصندوق صغير من جلسات ما قبل السوق.</w:t>
      </w:r>
    </w:p>
    <w:p>
      <w:pPr>
        <w:spacing w:before="200" w:after="100"/>
        <w:jc w:val="right"/>
        <w:bidi w:val="1"/>
      </w:pPr>
      <w:r>
        <w:rPr>
          <w:rFonts w:ascii="Arial" w:hAnsi="Arial" w:cs="Arial"/>
          <w:b/>
          <w:color w:val="183C69"/>
          <w:sz w:val="32"/>
        </w:rPr>
        <w:t>3. خطوات تجهيز الشارت</w:t>
      </w:r>
    </w:p>
    <w:p>
      <w:pPr>
        <w:spacing w:after="60"/>
        <w:ind w:left="144" w:right="144"/>
        <w:jc w:val="right"/>
        <w:bidi w:val="1"/>
      </w:pPr>
      <w:r>
        <w:rPr>
          <w:rFonts w:ascii="Arial" w:hAnsi="Arial" w:cs="Arial"/>
          <w:b w:val="0"/>
          <w:sz w:val="21"/>
        </w:rPr>
        <w:t>• افتح الأصل المراد تداوله على فريم Daily.</w:t>
      </w:r>
    </w:p>
    <w:p>
      <w:pPr>
        <w:spacing w:after="60"/>
        <w:ind w:left="144" w:right="144"/>
        <w:jc w:val="right"/>
        <w:bidi w:val="1"/>
      </w:pPr>
      <w:r>
        <w:rPr>
          <w:rFonts w:ascii="Arial" w:hAnsi="Arial" w:cs="Arial"/>
          <w:b w:val="0"/>
          <w:sz w:val="21"/>
        </w:rPr>
        <w:t>• حدد آخر شمعة يومية مكتملة، وهي شمعة اليوم السابق.</w:t>
      </w:r>
    </w:p>
    <w:p>
      <w:pPr>
        <w:spacing w:after="60"/>
        <w:ind w:left="144" w:right="144"/>
        <w:jc w:val="right"/>
        <w:bidi w:val="1"/>
      </w:pPr>
      <w:r>
        <w:rPr>
          <w:rFonts w:ascii="Arial" w:hAnsi="Arial" w:cs="Arial"/>
          <w:b w:val="0"/>
          <w:sz w:val="21"/>
        </w:rPr>
        <w:t>• ارسم صندوقًا من أعلى سعر في اليوم السابق إلى أدنى سعر في اليوم السابق، مع احتساب الذيول.</w:t>
      </w:r>
    </w:p>
    <w:p>
      <w:pPr>
        <w:spacing w:after="60"/>
        <w:ind w:left="144" w:right="144"/>
        <w:jc w:val="right"/>
        <w:bidi w:val="1"/>
      </w:pPr>
      <w:r>
        <w:rPr>
          <w:rFonts w:ascii="Arial" w:hAnsi="Arial" w:cs="Arial"/>
          <w:b w:val="0"/>
          <w:sz w:val="21"/>
        </w:rPr>
        <w:t>• أضف خطًا في منتصف الصندوق لاستخدامه كمنطقة مراقبة وجني أرباح جزئي، وليس كمنطقة دخول رئيسية.</w:t>
      </w:r>
    </w:p>
    <w:p>
      <w:pPr>
        <w:spacing w:after="60"/>
        <w:ind w:left="144" w:right="144"/>
        <w:jc w:val="right"/>
        <w:bidi w:val="1"/>
      </w:pPr>
      <w:r>
        <w:rPr>
          <w:rFonts w:ascii="Arial" w:hAnsi="Arial" w:cs="Arial"/>
          <w:b w:val="0"/>
          <w:sz w:val="21"/>
        </w:rPr>
        <w:t>• انتقل إلى فريم التنفيذ، ويفضل M5 كما ورد في الشرح.</w:t>
      </w:r>
    </w:p>
    <w:p>
      <w:pPr>
        <w:spacing w:after="60"/>
        <w:ind w:left="144" w:right="144"/>
        <w:jc w:val="right"/>
        <w:bidi w:val="1"/>
      </w:pPr>
      <w:r>
        <w:rPr>
          <w:rFonts w:ascii="Arial" w:hAnsi="Arial" w:cs="Arial"/>
          <w:b w:val="0"/>
          <w:sz w:val="21"/>
        </w:rPr>
        <w:t>• انتظر افتتاح الجلسة النشطة المناسبة للأصل الذي تتداوله. في مثال futures، كان التركيز على افتتاح السوق الأمريكي.</w:t>
      </w:r>
    </w:p>
    <w:tbl>
      <w:tblPr>
        <w:tblStyle w:val="TableGrid"/>
        <w:tblW w:type="auto" w:w="0"/>
        <w:jc w:val="center"/>
        <w:tblLook w:firstColumn="1" w:firstRow="1" w:lastColumn="0" w:lastRow="0" w:noHBand="0" w:noVBand="1" w:val="04A0"/>
      </w:tblPr>
      <w:tblGrid>
        <w:gridCol w:w="5213"/>
        <w:gridCol w:w="5213"/>
      </w:tblGrid>
      <w:tr>
        <w:tc>
          <w:tcPr>
            <w:tcW w:type="dxa" w:w="5213"/>
            <w:vAlign w:val="center"/>
            <w:shd w:fill="183C69"/>
          </w:tcPr>
          <w:p>
            <w:pPr>
              <w:jc w:val="right"/>
              <w:bidi w:val="1"/>
            </w:pPr>
            <w:r/>
            <w:r>
              <w:rPr>
                <w:rFonts w:ascii="Arial" w:hAnsi="Arial" w:cs="Arial"/>
                <w:b/>
                <w:color w:val="FFFFFF"/>
                <w:sz w:val="20"/>
              </w:rPr>
              <w:t>المستوى</w:t>
            </w:r>
          </w:p>
        </w:tc>
        <w:tc>
          <w:tcPr>
            <w:tcW w:type="dxa" w:w="5213"/>
            <w:vAlign w:val="center"/>
            <w:shd w:fill="183C69"/>
          </w:tcPr>
          <w:p>
            <w:pPr>
              <w:jc w:val="right"/>
              <w:bidi w:val="1"/>
            </w:pPr>
            <w:r/>
            <w:r>
              <w:rPr>
                <w:rFonts w:ascii="Arial" w:hAnsi="Arial" w:cs="Arial"/>
                <w:b/>
                <w:color w:val="FFFFFF"/>
                <w:sz w:val="20"/>
              </w:rPr>
              <w:t>التفسير</w:t>
            </w:r>
          </w:p>
        </w:tc>
      </w:tr>
      <w:tr>
        <w:tc>
          <w:tcPr>
            <w:tcW w:type="dxa" w:w="5213"/>
            <w:vAlign w:val="center"/>
          </w:tcPr>
          <w:p>
            <w:pPr>
              <w:jc w:val="right"/>
              <w:bidi w:val="1"/>
            </w:pPr>
            <w:r/>
            <w:r>
              <w:rPr>
                <w:rFonts w:ascii="Arial" w:hAnsi="Arial" w:cs="Arial"/>
                <w:b/>
                <w:sz w:val="20"/>
              </w:rPr>
              <w:t>أعلى الصندوق</w:t>
            </w:r>
          </w:p>
        </w:tc>
        <w:tc>
          <w:tcPr>
            <w:tcW w:type="dxa" w:w="5213"/>
            <w:vAlign w:val="center"/>
          </w:tcPr>
          <w:p>
            <w:pPr>
              <w:jc w:val="right"/>
              <w:bidi w:val="1"/>
            </w:pPr>
            <w:r/>
            <w:r>
              <w:rPr>
                <w:rFonts w:ascii="Arial" w:hAnsi="Arial" w:cs="Arial"/>
                <w:b w:val="0"/>
                <w:sz w:val="20"/>
              </w:rPr>
              <w:t>قمة اليوم السابق: منطقة بيع محتملة، ولا نشتري عندها.</w:t>
            </w:r>
          </w:p>
        </w:tc>
      </w:tr>
      <w:tr>
        <w:tc>
          <w:tcPr>
            <w:tcW w:type="dxa" w:w="5213"/>
            <w:vAlign w:val="center"/>
          </w:tcPr>
          <w:p>
            <w:pPr>
              <w:jc w:val="right"/>
              <w:bidi w:val="1"/>
            </w:pPr>
            <w:r/>
            <w:r>
              <w:rPr>
                <w:rFonts w:ascii="Arial" w:hAnsi="Arial" w:cs="Arial"/>
                <w:b/>
                <w:sz w:val="20"/>
              </w:rPr>
              <w:t>أسفل الصندوق</w:t>
            </w:r>
          </w:p>
        </w:tc>
        <w:tc>
          <w:tcPr>
            <w:tcW w:type="dxa" w:w="5213"/>
            <w:vAlign w:val="center"/>
          </w:tcPr>
          <w:p>
            <w:pPr>
              <w:jc w:val="right"/>
              <w:bidi w:val="1"/>
            </w:pPr>
            <w:r/>
            <w:r>
              <w:rPr>
                <w:rFonts w:ascii="Arial" w:hAnsi="Arial" w:cs="Arial"/>
                <w:b w:val="0"/>
                <w:sz w:val="20"/>
              </w:rPr>
              <w:t>قاع اليوم السابق: منطقة شراء محتملة، ولا نبيع عندها.</w:t>
            </w:r>
          </w:p>
        </w:tc>
      </w:tr>
      <w:tr>
        <w:tc>
          <w:tcPr>
            <w:tcW w:type="dxa" w:w="5213"/>
            <w:vAlign w:val="center"/>
          </w:tcPr>
          <w:p>
            <w:pPr>
              <w:jc w:val="right"/>
              <w:bidi w:val="1"/>
            </w:pPr>
            <w:r/>
            <w:r>
              <w:rPr>
                <w:rFonts w:ascii="Arial" w:hAnsi="Arial" w:cs="Arial"/>
                <w:b/>
                <w:sz w:val="20"/>
              </w:rPr>
              <w:t>منتصف الصندوق</w:t>
            </w:r>
          </w:p>
        </w:tc>
        <w:tc>
          <w:tcPr>
            <w:tcW w:type="dxa" w:w="5213"/>
            <w:vAlign w:val="center"/>
          </w:tcPr>
          <w:p>
            <w:pPr>
              <w:jc w:val="right"/>
              <w:bidi w:val="1"/>
            </w:pPr>
            <w:r/>
            <w:r>
              <w:rPr>
                <w:rFonts w:ascii="Arial" w:hAnsi="Arial" w:cs="Arial"/>
                <w:b w:val="0"/>
                <w:sz w:val="20"/>
              </w:rPr>
              <w:t>منطقة عشوائية/متذبذبة. لا ندخل منها إلا إذا كانت جزءًا من إدارة صفقة قائمة.</w:t>
            </w:r>
          </w:p>
        </w:tc>
      </w:tr>
    </w:tbl>
    <w:p/>
    <w:p>
      <w:pPr>
        <w:spacing w:before="200" w:after="100"/>
        <w:jc w:val="right"/>
        <w:bidi w:val="1"/>
      </w:pPr>
      <w:r>
        <w:rPr>
          <w:rFonts w:ascii="Arial" w:hAnsi="Arial" w:cs="Arial"/>
          <w:b/>
          <w:color w:val="183C69"/>
          <w:sz w:val="32"/>
        </w:rPr>
        <w:t>4. قواعد الاتجاه داخل الصندوق</w:t>
      </w:r>
    </w:p>
    <w:tbl>
      <w:tblPr>
        <w:tblStyle w:val="TableGrid"/>
        <w:tblW w:type="auto" w:w="0"/>
        <w:jc w:val="center"/>
        <w:tblLook w:firstColumn="1" w:firstRow="1" w:lastColumn="0" w:lastRow="0" w:noHBand="0" w:noVBand="1" w:val="04A0"/>
      </w:tblPr>
      <w:tblGrid>
        <w:gridCol w:w="10426"/>
      </w:tblGrid>
      <w:tr>
        <w:tc>
          <w:tcPr>
            <w:tcW w:type="dxa" w:w="10426"/>
            <w:shd w:fill="F3F7FA"/>
          </w:tcPr>
          <w:p>
            <w:pPr>
              <w:jc w:val="right"/>
              <w:bidi w:val="1"/>
            </w:pPr>
            <w:r>
              <w:rPr>
                <w:rFonts w:ascii="Arial" w:hAnsi="Arial" w:cs="Arial"/>
                <w:b/>
                <w:color w:val="183C69"/>
                <w:sz w:val="22"/>
              </w:rPr>
              <w:t>القواعد الثلاث</w:t>
            </w:r>
          </w:p>
          <w:p>
            <w:pPr>
              <w:spacing w:after="40"/>
              <w:jc w:val="right"/>
              <w:bidi w:val="1"/>
            </w:pPr>
            <w:r>
              <w:rPr>
                <w:rFonts w:ascii="Arial" w:hAnsi="Arial" w:cs="Arial"/>
                <w:b w:val="0"/>
                <w:sz w:val="20"/>
              </w:rPr>
              <w:t>1) عند أعلى الصندوق: ممنوع الشراء. نبحث فقط عن بيع بعد تأكيد.</w:t>
            </w:r>
          </w:p>
          <w:p>
            <w:pPr>
              <w:spacing w:after="40"/>
              <w:jc w:val="right"/>
              <w:bidi w:val="1"/>
            </w:pPr>
            <w:r>
              <w:rPr>
                <w:rFonts w:ascii="Arial" w:hAnsi="Arial" w:cs="Arial"/>
                <w:b w:val="0"/>
                <w:sz w:val="20"/>
              </w:rPr>
              <w:t>2) عند أسفل الصندوق: ممنوع البيع. نبحث فقط عن شراء بعد تأكيد.</w:t>
            </w:r>
          </w:p>
          <w:p>
            <w:pPr>
              <w:spacing w:after="40"/>
              <w:jc w:val="right"/>
              <w:bidi w:val="1"/>
            </w:pPr>
            <w:r>
              <w:rPr>
                <w:rFonts w:ascii="Arial" w:hAnsi="Arial" w:cs="Arial"/>
                <w:b w:val="0"/>
                <w:sz w:val="20"/>
              </w:rPr>
              <w:t>3) في منتصف الصندوق: لا نفعل شيئًا. Do not diddle in the middle.</w:t>
            </w:r>
          </w:p>
        </w:tc>
      </w:tr>
    </w:tbl>
    <w:p/>
    <w:p>
      <w:pPr>
        <w:spacing w:after="120" w:line="276" w:lineRule="auto"/>
        <w:jc w:val="right"/>
        <w:bidi w:val="1"/>
      </w:pPr>
      <w:r>
        <w:rPr>
          <w:rFonts w:ascii="Arial" w:hAnsi="Arial" w:cs="Arial"/>
          <w:b w:val="0"/>
          <w:sz w:val="22"/>
        </w:rPr>
        <w:t>هذه القواعد تمنع الخطأ الشائع: شراء الاختراق عند قمة اليوم السابق أو بيع الانهيار عند قاع اليوم السابق. غالبًا هذه المناطق تكون مصائد سيولة، وليست أماكن آمنة لمطاردة السعر.</w:t>
      </w:r>
    </w:p>
    <w:p>
      <w:pPr>
        <w:spacing w:before="200" w:after="100"/>
        <w:jc w:val="right"/>
        <w:bidi w:val="1"/>
      </w:pPr>
      <w:r>
        <w:rPr>
          <w:rFonts w:ascii="Arial" w:hAnsi="Arial" w:cs="Arial"/>
          <w:b/>
          <w:color w:val="183C69"/>
          <w:sz w:val="32"/>
        </w:rPr>
        <w:t>5. تأكيد شمعة الشوكة Pitchfork Candlestick Confirmation</w:t>
      </w:r>
    </w:p>
    <w:p>
      <w:pPr>
        <w:spacing w:after="120" w:line="276" w:lineRule="auto"/>
        <w:jc w:val="right"/>
        <w:bidi w:val="1"/>
      </w:pPr>
      <w:r>
        <w:rPr>
          <w:rFonts w:ascii="Arial" w:hAnsi="Arial" w:cs="Arial"/>
          <w:b w:val="0"/>
          <w:sz w:val="22"/>
        </w:rPr>
        <w:t>الصندوق يحدد مكان المعركة، لكنه لا يخبرنا من الفائز. لذلك لا ندخل بمجرد لمس أعلى الصندوق أو أسفله. ننتظر ظهور تأكيد شمعة الشوكة.</w:t>
      </w:r>
    </w:p>
    <w:p>
      <w:pPr>
        <w:spacing w:before="140" w:after="100"/>
        <w:jc w:val="right"/>
        <w:bidi w:val="1"/>
      </w:pPr>
      <w:r>
        <w:rPr>
          <w:rFonts w:ascii="Arial" w:hAnsi="Arial" w:cs="Arial"/>
          <w:b/>
          <w:color w:val="2CADA8"/>
          <w:sz w:val="26"/>
        </w:rPr>
        <w:t>5.1 تأكيد البيع من أعلى الصندوق</w:t>
      </w:r>
    </w:p>
    <w:p>
      <w:pPr>
        <w:spacing w:after="60"/>
        <w:ind w:left="144" w:right="144"/>
        <w:jc w:val="right"/>
        <w:bidi w:val="1"/>
      </w:pPr>
      <w:r>
        <w:rPr>
          <w:rFonts w:ascii="Arial" w:hAnsi="Arial" w:cs="Arial"/>
          <w:b w:val="0"/>
          <w:sz w:val="21"/>
        </w:rPr>
        <w:t>• السعر يقترب من أعلى الصندوق أو يخترقه قليلًا للأعلى.</w:t>
      </w:r>
    </w:p>
    <w:p>
      <w:pPr>
        <w:spacing w:after="60"/>
        <w:ind w:left="144" w:right="144"/>
        <w:jc w:val="right"/>
        <w:bidi w:val="1"/>
      </w:pPr>
      <w:r>
        <w:rPr>
          <w:rFonts w:ascii="Arial" w:hAnsi="Arial" w:cs="Arial"/>
          <w:b w:val="0"/>
          <w:sz w:val="21"/>
        </w:rPr>
        <w:t>• في الحالة المثالية تظهر 3 إلى 5 شموع خضراء متتالية باتجاه أعلى الصندوق. هذا يدل على شراء عاطفي أو مطاردة اختراق.</w:t>
      </w:r>
    </w:p>
    <w:p>
      <w:pPr>
        <w:spacing w:after="60"/>
        <w:ind w:left="144" w:right="144"/>
        <w:jc w:val="right"/>
        <w:bidi w:val="1"/>
      </w:pPr>
      <w:r>
        <w:rPr>
          <w:rFonts w:ascii="Arial" w:hAnsi="Arial" w:cs="Arial"/>
          <w:b w:val="0"/>
          <w:sz w:val="21"/>
        </w:rPr>
        <w:t>• ننتظر أول شمعة حمراء تغلق حمراء، ويفضل أن يكون لها ذيل علوي واضح يدل على رفض السعر.</w:t>
      </w:r>
    </w:p>
    <w:p>
      <w:pPr>
        <w:spacing w:after="60"/>
        <w:ind w:left="144" w:right="144"/>
        <w:jc w:val="right"/>
        <w:bidi w:val="1"/>
      </w:pPr>
      <w:r>
        <w:rPr>
          <w:rFonts w:ascii="Arial" w:hAnsi="Arial" w:cs="Arial"/>
          <w:b w:val="0"/>
          <w:sz w:val="21"/>
        </w:rPr>
        <w:t>• الدخول بيع يتم عندما تبدأ الشمعة التالية بكسر لو الشمعة الحمراء الأولى.</w:t>
      </w:r>
    </w:p>
    <w:p>
      <w:pPr>
        <w:spacing w:after="60"/>
        <w:ind w:left="144" w:right="144"/>
        <w:jc w:val="right"/>
        <w:bidi w:val="1"/>
      </w:pPr>
      <w:r>
        <w:rPr>
          <w:rFonts w:ascii="Arial" w:hAnsi="Arial" w:cs="Arial"/>
          <w:b w:val="0"/>
          <w:sz w:val="21"/>
        </w:rPr>
        <w:t>• وقف الخسارة يوضع فوق قمة الشمعة الحمراء أو فوق الذيل العلوي بقليل.</w:t>
      </w:r>
    </w:p>
    <w:tbl>
      <w:tblPr>
        <w:tblStyle w:val="TableGrid"/>
        <w:tblW w:type="auto" w:w="0"/>
        <w:jc w:val="center"/>
        <w:tblLook w:firstColumn="1" w:firstRow="1" w:lastColumn="0" w:lastRow="0" w:noHBand="0" w:noVBand="1" w:val="04A0"/>
      </w:tblPr>
      <w:tblGrid>
        <w:gridCol w:w="10426"/>
      </w:tblGrid>
      <w:tr>
        <w:tc>
          <w:tcPr>
            <w:tcW w:type="dxa" w:w="10426"/>
            <w:shd w:fill="F3F7FA"/>
          </w:tcPr>
          <w:p>
            <w:pPr>
              <w:jc w:val="right"/>
              <w:bidi w:val="1"/>
            </w:pPr>
            <w:r>
              <w:rPr>
                <w:rFonts w:ascii="Arial" w:hAnsi="Arial" w:cs="Arial"/>
                <w:b/>
                <w:color w:val="183C69"/>
                <w:sz w:val="22"/>
              </w:rPr>
              <w:t>Sell IF / THEN</w:t>
            </w:r>
          </w:p>
          <w:p>
            <w:pPr>
              <w:spacing w:after="40"/>
              <w:jc w:val="right"/>
              <w:bidi w:val="1"/>
            </w:pPr>
            <w:r>
              <w:rPr>
                <w:rFonts w:ascii="Arial" w:hAnsi="Arial" w:cs="Arial"/>
                <w:b w:val="0"/>
                <w:sz w:val="20"/>
              </w:rPr>
              <w:t>IF السعر عند أعلى صندوق اليوم السابق</w:t>
            </w:r>
          </w:p>
          <w:p>
            <w:pPr>
              <w:spacing w:after="40"/>
              <w:jc w:val="right"/>
              <w:bidi w:val="1"/>
            </w:pPr>
            <w:r>
              <w:rPr>
                <w:rFonts w:ascii="Arial" w:hAnsi="Arial" w:cs="Arial"/>
                <w:b w:val="0"/>
                <w:sz w:val="20"/>
              </w:rPr>
              <w:t>AND ظهرت حركة صاعدة متتالية باتجاه القمة</w:t>
            </w:r>
          </w:p>
          <w:p>
            <w:pPr>
              <w:spacing w:after="40"/>
              <w:jc w:val="right"/>
              <w:bidi w:val="1"/>
            </w:pPr>
            <w:r>
              <w:rPr>
                <w:rFonts w:ascii="Arial" w:hAnsi="Arial" w:cs="Arial"/>
                <w:b w:val="0"/>
                <w:sz w:val="20"/>
              </w:rPr>
              <w:t>AND ظهرت شمعة حمراء أولى تدل على دخول البائعين</w:t>
            </w:r>
          </w:p>
          <w:p>
            <w:pPr>
              <w:spacing w:after="40"/>
              <w:jc w:val="right"/>
              <w:bidi w:val="1"/>
            </w:pPr>
            <w:r>
              <w:rPr>
                <w:rFonts w:ascii="Arial" w:hAnsi="Arial" w:cs="Arial"/>
                <w:b w:val="0"/>
                <w:sz w:val="20"/>
              </w:rPr>
              <w:t>AND الشمعة التالية كسرت لو هذه الشمعة الحمراء</w:t>
            </w:r>
          </w:p>
          <w:p>
            <w:pPr>
              <w:spacing w:after="40"/>
              <w:jc w:val="right"/>
              <w:bidi w:val="1"/>
            </w:pPr>
            <w:r>
              <w:rPr>
                <w:rFonts w:ascii="Arial" w:hAnsi="Arial" w:cs="Arial"/>
                <w:b w:val="0"/>
                <w:sz w:val="20"/>
              </w:rPr>
              <w:t>THEN ندخل بيعًا، والوقف فوق الذيل/القمة.</w:t>
            </w:r>
          </w:p>
        </w:tc>
      </w:tr>
    </w:tbl>
    <w:p/>
    <w:p>
      <w:pPr>
        <w:spacing w:before="140" w:after="100"/>
        <w:jc w:val="right"/>
        <w:bidi w:val="1"/>
      </w:pPr>
      <w:r>
        <w:rPr>
          <w:rFonts w:ascii="Arial" w:hAnsi="Arial" w:cs="Arial"/>
          <w:b/>
          <w:color w:val="2CADA8"/>
          <w:sz w:val="26"/>
        </w:rPr>
        <w:t>5.2 تأكيد الشراء من أسفل الصندوق</w:t>
      </w:r>
    </w:p>
    <w:p>
      <w:pPr>
        <w:spacing w:after="60"/>
        <w:ind w:left="144" w:right="144"/>
        <w:jc w:val="right"/>
        <w:bidi w:val="1"/>
      </w:pPr>
      <w:r>
        <w:rPr>
          <w:rFonts w:ascii="Arial" w:hAnsi="Arial" w:cs="Arial"/>
          <w:b w:val="0"/>
          <w:sz w:val="21"/>
        </w:rPr>
        <w:t>• السعر يقترب من أسفل الصندوق أو يخترقه قليلًا للأسفل.</w:t>
      </w:r>
    </w:p>
    <w:p>
      <w:pPr>
        <w:spacing w:after="60"/>
        <w:ind w:left="144" w:right="144"/>
        <w:jc w:val="right"/>
        <w:bidi w:val="1"/>
      </w:pPr>
      <w:r>
        <w:rPr>
          <w:rFonts w:ascii="Arial" w:hAnsi="Arial" w:cs="Arial"/>
          <w:b w:val="0"/>
          <w:sz w:val="21"/>
        </w:rPr>
        <w:t>• في الحالة المثالية تظهر 3 إلى 5 شموع حمراء متتالية باتجاه أسفل الصندوق. هذا يدل على بيع عاطفي أو مطاردة انهيار.</w:t>
      </w:r>
    </w:p>
    <w:p>
      <w:pPr>
        <w:spacing w:after="60"/>
        <w:ind w:left="144" w:right="144"/>
        <w:jc w:val="right"/>
        <w:bidi w:val="1"/>
      </w:pPr>
      <w:r>
        <w:rPr>
          <w:rFonts w:ascii="Arial" w:hAnsi="Arial" w:cs="Arial"/>
          <w:b w:val="0"/>
          <w:sz w:val="21"/>
        </w:rPr>
        <w:t>• ننتظر أول شمعة خضراء تغلق خضراء، ويفضل أن يكون لها ذيل سفلي واضح يدل على رفض الهبوط.</w:t>
      </w:r>
    </w:p>
    <w:p>
      <w:pPr>
        <w:spacing w:after="60"/>
        <w:ind w:left="144" w:right="144"/>
        <w:jc w:val="right"/>
        <w:bidi w:val="1"/>
      </w:pPr>
      <w:r>
        <w:rPr>
          <w:rFonts w:ascii="Arial" w:hAnsi="Arial" w:cs="Arial"/>
          <w:b w:val="0"/>
          <w:sz w:val="21"/>
        </w:rPr>
        <w:t>• الدخول شراء يتم عندما تبدأ الشمعة التالية بكسر هاي الشمعة الخضراء الأولى.</w:t>
      </w:r>
    </w:p>
    <w:p>
      <w:pPr>
        <w:spacing w:after="60"/>
        <w:ind w:left="144" w:right="144"/>
        <w:jc w:val="right"/>
        <w:bidi w:val="1"/>
      </w:pPr>
      <w:r>
        <w:rPr>
          <w:rFonts w:ascii="Arial" w:hAnsi="Arial" w:cs="Arial"/>
          <w:b w:val="0"/>
          <w:sz w:val="21"/>
        </w:rPr>
        <w:t>• وقف الخسارة يوضع أسفل قاع الشمعة الخضراء أو أسفل الذيل السفلي بقليل.</w:t>
      </w:r>
    </w:p>
    <w:tbl>
      <w:tblPr>
        <w:tblStyle w:val="TableGrid"/>
        <w:tblW w:type="auto" w:w="0"/>
        <w:jc w:val="center"/>
        <w:tblLook w:firstColumn="1" w:firstRow="1" w:lastColumn="0" w:lastRow="0" w:noHBand="0" w:noVBand="1" w:val="04A0"/>
      </w:tblPr>
      <w:tblGrid>
        <w:gridCol w:w="10426"/>
      </w:tblGrid>
      <w:tr>
        <w:tc>
          <w:tcPr>
            <w:tcW w:type="dxa" w:w="10426"/>
            <w:shd w:fill="F3F7FA"/>
          </w:tcPr>
          <w:p>
            <w:pPr>
              <w:jc w:val="right"/>
              <w:bidi w:val="1"/>
            </w:pPr>
            <w:r>
              <w:rPr>
                <w:rFonts w:ascii="Arial" w:hAnsi="Arial" w:cs="Arial"/>
                <w:b/>
                <w:color w:val="183C69"/>
                <w:sz w:val="22"/>
              </w:rPr>
              <w:t>Buy IF / THEN</w:t>
            </w:r>
          </w:p>
          <w:p>
            <w:pPr>
              <w:spacing w:after="40"/>
              <w:jc w:val="right"/>
              <w:bidi w:val="1"/>
            </w:pPr>
            <w:r>
              <w:rPr>
                <w:rFonts w:ascii="Arial" w:hAnsi="Arial" w:cs="Arial"/>
                <w:b w:val="0"/>
                <w:sz w:val="20"/>
              </w:rPr>
              <w:t>IF السعر عند أسفل صندوق اليوم السابق</w:t>
            </w:r>
          </w:p>
          <w:p>
            <w:pPr>
              <w:spacing w:after="40"/>
              <w:jc w:val="right"/>
              <w:bidi w:val="1"/>
            </w:pPr>
            <w:r>
              <w:rPr>
                <w:rFonts w:ascii="Arial" w:hAnsi="Arial" w:cs="Arial"/>
                <w:b w:val="0"/>
                <w:sz w:val="20"/>
              </w:rPr>
              <w:t>AND ظهرت حركة هابطة متتالية باتجاه القاع</w:t>
            </w:r>
          </w:p>
          <w:p>
            <w:pPr>
              <w:spacing w:after="40"/>
              <w:jc w:val="right"/>
              <w:bidi w:val="1"/>
            </w:pPr>
            <w:r>
              <w:rPr>
                <w:rFonts w:ascii="Arial" w:hAnsi="Arial" w:cs="Arial"/>
                <w:b w:val="0"/>
                <w:sz w:val="20"/>
              </w:rPr>
              <w:t>AND ظهرت شمعة خضراء أولى تدل على دخول المشترين</w:t>
            </w:r>
          </w:p>
          <w:p>
            <w:pPr>
              <w:spacing w:after="40"/>
              <w:jc w:val="right"/>
              <w:bidi w:val="1"/>
            </w:pPr>
            <w:r>
              <w:rPr>
                <w:rFonts w:ascii="Arial" w:hAnsi="Arial" w:cs="Arial"/>
                <w:b w:val="0"/>
                <w:sz w:val="20"/>
              </w:rPr>
              <w:t>AND الشمعة التالية كسرت هاي هذه الشمعة الخضراء</w:t>
            </w:r>
          </w:p>
          <w:p>
            <w:pPr>
              <w:spacing w:after="40"/>
              <w:jc w:val="right"/>
              <w:bidi w:val="1"/>
            </w:pPr>
            <w:r>
              <w:rPr>
                <w:rFonts w:ascii="Arial" w:hAnsi="Arial" w:cs="Arial"/>
                <w:b w:val="0"/>
                <w:sz w:val="20"/>
              </w:rPr>
              <w:t>THEN ندخل شراءً، والوقف أسفل الذيل/القاع.</w:t>
            </w:r>
          </w:p>
        </w:tc>
      </w:tr>
    </w:tbl>
    <w:p/>
    <w:p>
      <w:pPr>
        <w:spacing w:before="200" w:after="100"/>
        <w:jc w:val="right"/>
        <w:bidi w:val="1"/>
      </w:pPr>
      <w:r>
        <w:rPr>
          <w:rFonts w:ascii="Arial" w:hAnsi="Arial" w:cs="Arial"/>
          <w:b/>
          <w:color w:val="183C69"/>
          <w:sz w:val="32"/>
        </w:rPr>
        <w:t>6. إدارة الصفقة</w:t>
      </w:r>
    </w:p>
    <w:p>
      <w:pPr>
        <w:spacing w:after="120" w:line="276" w:lineRule="auto"/>
        <w:jc w:val="right"/>
        <w:bidi w:val="1"/>
      </w:pPr>
      <w:r>
        <w:rPr>
          <w:rFonts w:ascii="Arial" w:hAnsi="Arial" w:cs="Arial"/>
          <w:b w:val="0"/>
          <w:sz w:val="22"/>
        </w:rPr>
        <w:t>إدارة الصفقة في هذه الاستراتيجية مهمة جدًا لأن السعر قد يرتد بسرعة من مناطق السيولة، وقد يعود لاختبارها مرة أخرى. لذلك يجب تقليل المخاطرة سريعًا عندما تثبت الصفقة نفسها.</w:t>
      </w:r>
    </w:p>
    <w:p>
      <w:pPr>
        <w:spacing w:after="60"/>
        <w:ind w:left="144" w:right="144"/>
        <w:jc w:val="right"/>
        <w:bidi w:val="1"/>
      </w:pPr>
      <w:r>
        <w:rPr>
          <w:rFonts w:ascii="Arial" w:hAnsi="Arial" w:cs="Arial"/>
          <w:b w:val="0"/>
          <w:sz w:val="21"/>
        </w:rPr>
        <w:t>• عند وصول الصفقة إلى ربح جيد أو قرابة 1R، انقل وقف الخسارة إلى نقطة الدخول Break Even.</w:t>
      </w:r>
    </w:p>
    <w:p>
      <w:pPr>
        <w:spacing w:after="60"/>
        <w:ind w:left="144" w:right="144"/>
        <w:jc w:val="right"/>
        <w:bidi w:val="1"/>
      </w:pPr>
      <w:r>
        <w:rPr>
          <w:rFonts w:ascii="Arial" w:hAnsi="Arial" w:cs="Arial"/>
          <w:b w:val="0"/>
          <w:sz w:val="21"/>
        </w:rPr>
        <w:t>• يمكن أخذ جزء من الربح عند منتصف الصندوق، لأنه منطقة تذبذب واحتمال انعكاس مؤقت.</w:t>
      </w:r>
    </w:p>
    <w:p>
      <w:pPr>
        <w:spacing w:after="60"/>
        <w:ind w:left="144" w:right="144"/>
        <w:jc w:val="right"/>
        <w:bidi w:val="1"/>
      </w:pPr>
      <w:r>
        <w:rPr>
          <w:rFonts w:ascii="Arial" w:hAnsi="Arial" w:cs="Arial"/>
          <w:b w:val="0"/>
          <w:sz w:val="21"/>
        </w:rPr>
        <w:t>• الهدف الأقوى للبيع من أعلى الصندوق هو منتصف الصندوق أولًا، ثم أسفل الصندوق إذا استمر الزخم.</w:t>
      </w:r>
    </w:p>
    <w:p>
      <w:pPr>
        <w:spacing w:after="60"/>
        <w:ind w:left="144" w:right="144"/>
        <w:jc w:val="right"/>
        <w:bidi w:val="1"/>
      </w:pPr>
      <w:r>
        <w:rPr>
          <w:rFonts w:ascii="Arial" w:hAnsi="Arial" w:cs="Arial"/>
          <w:b w:val="0"/>
          <w:sz w:val="21"/>
        </w:rPr>
        <w:t>• الهدف الأقوى للشراء من أسفل الصندوق هو منتصف الصندوق أولًا، ثم أعلى الصندوق إذا استمر الزخم.</w:t>
      </w:r>
    </w:p>
    <w:p>
      <w:pPr>
        <w:spacing w:after="60"/>
        <w:ind w:left="144" w:right="144"/>
        <w:jc w:val="right"/>
        <w:bidi w:val="1"/>
      </w:pPr>
      <w:r>
        <w:rPr>
          <w:rFonts w:ascii="Arial" w:hAnsi="Arial" w:cs="Arial"/>
          <w:b w:val="0"/>
          <w:sz w:val="21"/>
        </w:rPr>
        <w:t>• يمكن استخدام Trailing Stop بعد وصول السعر لمستويات مهمة، مثل تحريك الوقف فوق/تحت شموع M5 حسب اتجاه الصفقة.</w:t>
      </w:r>
    </w:p>
    <w:tbl>
      <w:tblPr>
        <w:tblStyle w:val="TableGrid"/>
        <w:tblW w:type="auto" w:w="0"/>
        <w:jc w:val="center"/>
        <w:tblLook w:firstColumn="1" w:firstRow="1" w:lastColumn="0" w:lastRow="0" w:noHBand="0" w:noVBand="1" w:val="04A0"/>
      </w:tblPr>
      <w:tblGrid>
        <w:gridCol w:w="5213"/>
        <w:gridCol w:w="5213"/>
      </w:tblGrid>
      <w:tr>
        <w:tc>
          <w:tcPr>
            <w:tcW w:type="dxa" w:w="5213"/>
            <w:vAlign w:val="center"/>
            <w:shd w:fill="183C69"/>
          </w:tcPr>
          <w:p>
            <w:pPr>
              <w:jc w:val="right"/>
              <w:bidi w:val="1"/>
            </w:pPr>
            <w:r/>
            <w:r>
              <w:rPr>
                <w:rFonts w:ascii="Arial" w:hAnsi="Arial" w:cs="Arial"/>
                <w:b/>
                <w:color w:val="FFFFFF"/>
                <w:sz w:val="20"/>
              </w:rPr>
              <w:t>البند</w:t>
            </w:r>
          </w:p>
        </w:tc>
        <w:tc>
          <w:tcPr>
            <w:tcW w:type="dxa" w:w="5213"/>
            <w:vAlign w:val="center"/>
            <w:shd w:fill="183C69"/>
          </w:tcPr>
          <w:p>
            <w:pPr>
              <w:jc w:val="right"/>
              <w:bidi w:val="1"/>
            </w:pPr>
            <w:r/>
            <w:r>
              <w:rPr>
                <w:rFonts w:ascii="Arial" w:hAnsi="Arial" w:cs="Arial"/>
                <w:b/>
                <w:color w:val="FFFFFF"/>
                <w:sz w:val="20"/>
              </w:rPr>
              <w:t>التفاصيل</w:t>
            </w:r>
          </w:p>
        </w:tc>
      </w:tr>
      <w:tr>
        <w:tc>
          <w:tcPr>
            <w:tcW w:type="dxa" w:w="5213"/>
            <w:vAlign w:val="center"/>
          </w:tcPr>
          <w:p>
            <w:pPr>
              <w:jc w:val="right"/>
              <w:bidi w:val="1"/>
            </w:pPr>
            <w:r/>
            <w:r>
              <w:rPr>
                <w:rFonts w:ascii="Arial" w:hAnsi="Arial" w:cs="Arial"/>
                <w:b/>
                <w:sz w:val="20"/>
              </w:rPr>
              <w:t>هدف بيع محافظ</w:t>
            </w:r>
          </w:p>
        </w:tc>
        <w:tc>
          <w:tcPr>
            <w:tcW w:type="dxa" w:w="5213"/>
            <w:vAlign w:val="center"/>
          </w:tcPr>
          <w:p>
            <w:pPr>
              <w:jc w:val="right"/>
              <w:bidi w:val="1"/>
            </w:pPr>
            <w:r/>
            <w:r>
              <w:rPr>
                <w:rFonts w:ascii="Arial" w:hAnsi="Arial" w:cs="Arial"/>
                <w:b w:val="0"/>
                <w:sz w:val="20"/>
              </w:rPr>
              <w:t>منتصف الصندوق.</w:t>
            </w:r>
          </w:p>
        </w:tc>
      </w:tr>
      <w:tr>
        <w:tc>
          <w:tcPr>
            <w:tcW w:type="dxa" w:w="5213"/>
            <w:vAlign w:val="center"/>
          </w:tcPr>
          <w:p>
            <w:pPr>
              <w:jc w:val="right"/>
              <w:bidi w:val="1"/>
            </w:pPr>
            <w:r/>
            <w:r>
              <w:rPr>
                <w:rFonts w:ascii="Arial" w:hAnsi="Arial" w:cs="Arial"/>
                <w:b/>
                <w:sz w:val="20"/>
              </w:rPr>
              <w:t>هدف بيع ممتد</w:t>
            </w:r>
          </w:p>
        </w:tc>
        <w:tc>
          <w:tcPr>
            <w:tcW w:type="dxa" w:w="5213"/>
            <w:vAlign w:val="center"/>
          </w:tcPr>
          <w:p>
            <w:pPr>
              <w:jc w:val="right"/>
              <w:bidi w:val="1"/>
            </w:pPr>
            <w:r/>
            <w:r>
              <w:rPr>
                <w:rFonts w:ascii="Arial" w:hAnsi="Arial" w:cs="Arial"/>
                <w:b w:val="0"/>
                <w:sz w:val="20"/>
              </w:rPr>
              <w:t>أسفل الصندوق أو منطقة سيولة يومية أدنى.</w:t>
            </w:r>
          </w:p>
        </w:tc>
      </w:tr>
      <w:tr>
        <w:tc>
          <w:tcPr>
            <w:tcW w:type="dxa" w:w="5213"/>
            <w:vAlign w:val="center"/>
          </w:tcPr>
          <w:p>
            <w:pPr>
              <w:jc w:val="right"/>
              <w:bidi w:val="1"/>
            </w:pPr>
            <w:r/>
            <w:r>
              <w:rPr>
                <w:rFonts w:ascii="Arial" w:hAnsi="Arial" w:cs="Arial"/>
                <w:b/>
                <w:sz w:val="20"/>
              </w:rPr>
              <w:t>هدف شراء محافظ</w:t>
            </w:r>
          </w:p>
        </w:tc>
        <w:tc>
          <w:tcPr>
            <w:tcW w:type="dxa" w:w="5213"/>
            <w:vAlign w:val="center"/>
          </w:tcPr>
          <w:p>
            <w:pPr>
              <w:jc w:val="right"/>
              <w:bidi w:val="1"/>
            </w:pPr>
            <w:r/>
            <w:r>
              <w:rPr>
                <w:rFonts w:ascii="Arial" w:hAnsi="Arial" w:cs="Arial"/>
                <w:b w:val="0"/>
                <w:sz w:val="20"/>
              </w:rPr>
              <w:t>منتصف الصندوق.</w:t>
            </w:r>
          </w:p>
        </w:tc>
      </w:tr>
      <w:tr>
        <w:tc>
          <w:tcPr>
            <w:tcW w:type="dxa" w:w="5213"/>
            <w:vAlign w:val="center"/>
          </w:tcPr>
          <w:p>
            <w:pPr>
              <w:jc w:val="right"/>
              <w:bidi w:val="1"/>
            </w:pPr>
            <w:r/>
            <w:r>
              <w:rPr>
                <w:rFonts w:ascii="Arial" w:hAnsi="Arial" w:cs="Arial"/>
                <w:b/>
                <w:sz w:val="20"/>
              </w:rPr>
              <w:t>هدف شراء ممتد</w:t>
            </w:r>
          </w:p>
        </w:tc>
        <w:tc>
          <w:tcPr>
            <w:tcW w:type="dxa" w:w="5213"/>
            <w:vAlign w:val="center"/>
          </w:tcPr>
          <w:p>
            <w:pPr>
              <w:jc w:val="right"/>
              <w:bidi w:val="1"/>
            </w:pPr>
            <w:r/>
            <w:r>
              <w:rPr>
                <w:rFonts w:ascii="Arial" w:hAnsi="Arial" w:cs="Arial"/>
                <w:b w:val="0"/>
                <w:sz w:val="20"/>
              </w:rPr>
              <w:t>أعلى الصندوق أو منطقة سيولة يومية أعلى.</w:t>
            </w:r>
          </w:p>
        </w:tc>
      </w:tr>
      <w:tr>
        <w:tc>
          <w:tcPr>
            <w:tcW w:type="dxa" w:w="5213"/>
            <w:vAlign w:val="center"/>
          </w:tcPr>
          <w:p>
            <w:pPr>
              <w:jc w:val="right"/>
              <w:bidi w:val="1"/>
            </w:pPr>
            <w:r/>
            <w:r>
              <w:rPr>
                <w:rFonts w:ascii="Arial" w:hAnsi="Arial" w:cs="Arial"/>
                <w:b/>
                <w:sz w:val="20"/>
              </w:rPr>
              <w:t>إدارة المخاطرة</w:t>
            </w:r>
          </w:p>
        </w:tc>
        <w:tc>
          <w:tcPr>
            <w:tcW w:type="dxa" w:w="5213"/>
            <w:vAlign w:val="center"/>
          </w:tcPr>
          <w:p>
            <w:pPr>
              <w:jc w:val="right"/>
              <w:bidi w:val="1"/>
            </w:pPr>
            <w:r/>
            <w:r>
              <w:rPr>
                <w:rFonts w:ascii="Arial" w:hAnsi="Arial" w:cs="Arial"/>
                <w:b w:val="0"/>
                <w:sz w:val="20"/>
              </w:rPr>
              <w:t>تحريك الوقف إلى الدخول بعد تحقق ربح مناسب أو بعد أول حركة قوية لصالح الصفقة.</w:t>
            </w:r>
          </w:p>
        </w:tc>
      </w:tr>
    </w:tbl>
    <w:p/>
    <w:p>
      <w:pPr>
        <w:spacing w:before="200" w:after="100"/>
        <w:jc w:val="right"/>
        <w:bidi w:val="1"/>
      </w:pPr>
      <w:r>
        <w:rPr>
          <w:rFonts w:ascii="Arial" w:hAnsi="Arial" w:cs="Arial"/>
          <w:b/>
          <w:color w:val="183C69"/>
          <w:sz w:val="32"/>
        </w:rPr>
        <w:t>7. ماذا نفعل إذا كسر السعر الصندوق؟</w:t>
      </w:r>
    </w:p>
    <w:p>
      <w:pPr>
        <w:spacing w:after="120" w:line="276" w:lineRule="auto"/>
        <w:jc w:val="right"/>
        <w:bidi w:val="1"/>
      </w:pPr>
      <w:r>
        <w:rPr>
          <w:rFonts w:ascii="Arial" w:hAnsi="Arial" w:cs="Arial"/>
          <w:b w:val="0"/>
          <w:sz w:val="22"/>
        </w:rPr>
        <w:t>كسر الصندوق لا يعني دائمًا انتهاء الفكرة. أحيانًا يكون الكسر مجرد سحب سيولة Liquidity Sweep ثم يعود السعر داخل النطاق. لكن إعادة الدخول لا تكون عشوائية.</w:t>
      </w:r>
    </w:p>
    <w:p>
      <w:pPr>
        <w:spacing w:after="60"/>
        <w:ind w:left="144" w:right="144"/>
        <w:jc w:val="right"/>
        <w:bidi w:val="1"/>
      </w:pPr>
      <w:r>
        <w:rPr>
          <w:rFonts w:ascii="Arial" w:hAnsi="Arial" w:cs="Arial"/>
          <w:b w:val="0"/>
          <w:sz w:val="21"/>
        </w:rPr>
        <w:t>• إذا تم ضرب الوقف بعد كسر أسفل الصندوق أو أعلى الصندوق، ارجع إلى فريم Daily.</w:t>
      </w:r>
    </w:p>
    <w:p>
      <w:pPr>
        <w:spacing w:after="60"/>
        <w:ind w:left="144" w:right="144"/>
        <w:jc w:val="right"/>
        <w:bidi w:val="1"/>
      </w:pPr>
      <w:r>
        <w:rPr>
          <w:rFonts w:ascii="Arial" w:hAnsi="Arial" w:cs="Arial"/>
          <w:b w:val="0"/>
          <w:sz w:val="21"/>
        </w:rPr>
        <w:t>• ابحث عن مناطق سيولة يومية أقدم قريبة: قيعان/قمم سابقة، قاع شهري، قاع أسبوعي، أو مستوى تم اختباره عدة مرات.</w:t>
      </w:r>
    </w:p>
    <w:p>
      <w:pPr>
        <w:spacing w:after="60"/>
        <w:ind w:left="144" w:right="144"/>
        <w:jc w:val="right"/>
        <w:bidi w:val="1"/>
      </w:pPr>
      <w:r>
        <w:rPr>
          <w:rFonts w:ascii="Arial" w:hAnsi="Arial" w:cs="Arial"/>
          <w:b w:val="0"/>
          <w:sz w:val="21"/>
        </w:rPr>
        <w:t>• إذا كان السعر لا يزال عند منطقة سيولة مهمة، انتقل مرة أخرى إلى M5 وابحث عن تأكيد شمعة الشوكة من جديد.</w:t>
      </w:r>
    </w:p>
    <w:p>
      <w:pPr>
        <w:spacing w:after="60"/>
        <w:ind w:left="144" w:right="144"/>
        <w:jc w:val="right"/>
        <w:bidi w:val="1"/>
      </w:pPr>
      <w:r>
        <w:rPr>
          <w:rFonts w:ascii="Arial" w:hAnsi="Arial" w:cs="Arial"/>
          <w:b w:val="0"/>
          <w:sz w:val="21"/>
        </w:rPr>
        <w:t>• إعادة الدخول مسموحة فقط إذا ظهر تأكيد جديد واضح، وليس لمجرد تعويض الخسارة.</w:t>
      </w:r>
    </w:p>
    <w:tbl>
      <w:tblPr>
        <w:tblStyle w:val="TableGrid"/>
        <w:tblW w:type="auto" w:w="0"/>
        <w:jc w:val="center"/>
        <w:tblLook w:firstColumn="1" w:firstRow="1" w:lastColumn="0" w:lastRow="0" w:noHBand="0" w:noVBand="1" w:val="04A0"/>
      </w:tblPr>
      <w:tblGrid>
        <w:gridCol w:w="10426"/>
      </w:tblGrid>
      <w:tr>
        <w:tc>
          <w:tcPr>
            <w:tcW w:type="dxa" w:w="10426"/>
            <w:shd w:fill="F3F7FA"/>
          </w:tcPr>
          <w:p>
            <w:pPr>
              <w:jc w:val="right"/>
              <w:bidi w:val="1"/>
            </w:pPr>
            <w:r>
              <w:rPr>
                <w:rFonts w:ascii="Arial" w:hAnsi="Arial" w:cs="Arial"/>
                <w:b/>
                <w:color w:val="183C69"/>
                <w:sz w:val="22"/>
              </w:rPr>
              <w:t>قاعدة إعادة الدخول</w:t>
            </w:r>
          </w:p>
          <w:p>
            <w:pPr>
              <w:spacing w:after="40"/>
              <w:jc w:val="right"/>
              <w:bidi w:val="1"/>
            </w:pPr>
            <w:r>
              <w:rPr>
                <w:rFonts w:ascii="Arial" w:hAnsi="Arial" w:cs="Arial"/>
                <w:b w:val="0"/>
                <w:sz w:val="20"/>
              </w:rPr>
              <w:t>IF تم ضرب الوقف</w:t>
            </w:r>
          </w:p>
          <w:p>
            <w:pPr>
              <w:spacing w:after="40"/>
              <w:jc w:val="right"/>
              <w:bidi w:val="1"/>
            </w:pPr>
            <w:r>
              <w:rPr>
                <w:rFonts w:ascii="Arial" w:hAnsi="Arial" w:cs="Arial"/>
                <w:b w:val="0"/>
                <w:sz w:val="20"/>
              </w:rPr>
              <w:t>AND السعر كسر الصندوق لكنه ما زال عند منطقة سيولة يومية مهمة</w:t>
            </w:r>
          </w:p>
          <w:p>
            <w:pPr>
              <w:spacing w:after="40"/>
              <w:jc w:val="right"/>
              <w:bidi w:val="1"/>
            </w:pPr>
            <w:r>
              <w:rPr>
                <w:rFonts w:ascii="Arial" w:hAnsi="Arial" w:cs="Arial"/>
                <w:b w:val="0"/>
                <w:sz w:val="20"/>
              </w:rPr>
              <w:t>AND ظهر تأكيد شمعة شوكة جديد على M5</w:t>
            </w:r>
          </w:p>
          <w:p>
            <w:pPr>
              <w:spacing w:after="40"/>
              <w:jc w:val="right"/>
              <w:bidi w:val="1"/>
            </w:pPr>
            <w:r>
              <w:rPr>
                <w:rFonts w:ascii="Arial" w:hAnsi="Arial" w:cs="Arial"/>
                <w:b w:val="0"/>
                <w:sz w:val="20"/>
              </w:rPr>
              <w:t>THEN يمكن إعادة الدخول بحجم مخاطرة منضبط.</w:t>
            </w:r>
          </w:p>
          <w:p>
            <w:pPr>
              <w:spacing w:after="40"/>
              <w:jc w:val="right"/>
              <w:bidi w:val="1"/>
            </w:pPr>
            <w:r>
              <w:rPr>
                <w:rFonts w:ascii="Arial" w:hAnsi="Arial" w:cs="Arial"/>
                <w:b w:val="0"/>
                <w:sz w:val="20"/>
              </w:rPr>
              <w:t>ELSE لا تدخل مرة أخرى.</w:t>
            </w:r>
          </w:p>
        </w:tc>
      </w:tr>
    </w:tbl>
    <w:p/>
    <w:p>
      <w:pPr>
        <w:spacing w:before="200" w:after="100"/>
        <w:jc w:val="right"/>
        <w:bidi w:val="1"/>
      </w:pPr>
      <w:r>
        <w:rPr>
          <w:rFonts w:ascii="Arial" w:hAnsi="Arial" w:cs="Arial"/>
          <w:b/>
          <w:color w:val="183C69"/>
          <w:sz w:val="32"/>
        </w:rPr>
        <w:t>8. المحركات المستقلة داخل الاستراتيجية</w:t>
      </w:r>
    </w:p>
    <w:tbl>
      <w:tblPr>
        <w:tblStyle w:val="TableGrid"/>
        <w:tblW w:type="auto" w:w="0"/>
        <w:jc w:val="center"/>
        <w:tblLook w:firstColumn="1" w:firstRow="1" w:lastColumn="0" w:lastRow="0" w:noHBand="0" w:noVBand="1" w:val="04A0"/>
      </w:tblPr>
      <w:tblGrid>
        <w:gridCol w:w="5213"/>
        <w:gridCol w:w="5213"/>
      </w:tblGrid>
      <w:tr>
        <w:tc>
          <w:tcPr>
            <w:tcW w:type="dxa" w:w="5213"/>
            <w:vAlign w:val="center"/>
            <w:shd w:fill="183C69"/>
          </w:tcPr>
          <w:p>
            <w:pPr>
              <w:jc w:val="right"/>
              <w:bidi w:val="1"/>
            </w:pPr>
            <w:r/>
            <w:r>
              <w:rPr>
                <w:rFonts w:ascii="Arial" w:hAnsi="Arial" w:cs="Arial"/>
                <w:b/>
                <w:color w:val="FFFFFF"/>
                <w:sz w:val="20"/>
              </w:rPr>
              <w:t>المحرك</w:t>
            </w:r>
          </w:p>
        </w:tc>
        <w:tc>
          <w:tcPr>
            <w:tcW w:type="dxa" w:w="5213"/>
            <w:vAlign w:val="center"/>
            <w:shd w:fill="183C69"/>
          </w:tcPr>
          <w:p>
            <w:pPr>
              <w:jc w:val="right"/>
              <w:bidi w:val="1"/>
            </w:pPr>
            <w:r/>
            <w:r>
              <w:rPr>
                <w:rFonts w:ascii="Arial" w:hAnsi="Arial" w:cs="Arial"/>
                <w:b/>
                <w:color w:val="FFFFFF"/>
                <w:sz w:val="20"/>
              </w:rPr>
              <w:t>وظيفته</w:t>
            </w:r>
          </w:p>
        </w:tc>
      </w:tr>
      <w:tr>
        <w:tc>
          <w:tcPr>
            <w:tcW w:type="dxa" w:w="5213"/>
            <w:vAlign w:val="center"/>
          </w:tcPr>
          <w:p>
            <w:pPr>
              <w:jc w:val="right"/>
              <w:bidi w:val="1"/>
            </w:pPr>
            <w:r/>
            <w:r>
              <w:rPr>
                <w:rFonts w:ascii="Arial" w:hAnsi="Arial" w:cs="Arial"/>
                <w:b/>
                <w:sz w:val="20"/>
              </w:rPr>
              <w:t>محرك رفض قمة الصندوق</w:t>
            </w:r>
          </w:p>
        </w:tc>
        <w:tc>
          <w:tcPr>
            <w:tcW w:type="dxa" w:w="5213"/>
            <w:vAlign w:val="center"/>
          </w:tcPr>
          <w:p>
            <w:pPr>
              <w:jc w:val="right"/>
              <w:bidi w:val="1"/>
            </w:pPr>
            <w:r/>
            <w:r>
              <w:rPr>
                <w:rFonts w:ascii="Arial" w:hAnsi="Arial" w:cs="Arial"/>
                <w:b w:val="0"/>
                <w:sz w:val="20"/>
              </w:rPr>
              <w:t>بيع من أعلى صندوق اليوم السابق بعد شمعة حمراء وكسر لوها.</w:t>
            </w:r>
          </w:p>
        </w:tc>
      </w:tr>
      <w:tr>
        <w:tc>
          <w:tcPr>
            <w:tcW w:type="dxa" w:w="5213"/>
            <w:vAlign w:val="center"/>
          </w:tcPr>
          <w:p>
            <w:pPr>
              <w:jc w:val="right"/>
              <w:bidi w:val="1"/>
            </w:pPr>
            <w:r/>
            <w:r>
              <w:rPr>
                <w:rFonts w:ascii="Arial" w:hAnsi="Arial" w:cs="Arial"/>
                <w:b/>
                <w:sz w:val="20"/>
              </w:rPr>
              <w:t>محرك رفض قاع الصندوق</w:t>
            </w:r>
          </w:p>
        </w:tc>
        <w:tc>
          <w:tcPr>
            <w:tcW w:type="dxa" w:w="5213"/>
            <w:vAlign w:val="center"/>
          </w:tcPr>
          <w:p>
            <w:pPr>
              <w:jc w:val="right"/>
              <w:bidi w:val="1"/>
            </w:pPr>
            <w:r/>
            <w:r>
              <w:rPr>
                <w:rFonts w:ascii="Arial" w:hAnsi="Arial" w:cs="Arial"/>
                <w:b w:val="0"/>
                <w:sz w:val="20"/>
              </w:rPr>
              <w:t>شراء من أسفل صندوق اليوم السابق بعد شمعة خضراء وكسر هايها.</w:t>
            </w:r>
          </w:p>
        </w:tc>
      </w:tr>
      <w:tr>
        <w:tc>
          <w:tcPr>
            <w:tcW w:type="dxa" w:w="5213"/>
            <w:vAlign w:val="center"/>
          </w:tcPr>
          <w:p>
            <w:pPr>
              <w:jc w:val="right"/>
              <w:bidi w:val="1"/>
            </w:pPr>
            <w:r/>
            <w:r>
              <w:rPr>
                <w:rFonts w:ascii="Arial" w:hAnsi="Arial" w:cs="Arial"/>
                <w:b/>
                <w:sz w:val="20"/>
              </w:rPr>
              <w:t>محرك إعادة الدخول بعد سحب السيولة</w:t>
            </w:r>
          </w:p>
        </w:tc>
        <w:tc>
          <w:tcPr>
            <w:tcW w:type="dxa" w:w="5213"/>
            <w:vAlign w:val="center"/>
          </w:tcPr>
          <w:p>
            <w:pPr>
              <w:jc w:val="right"/>
              <w:bidi w:val="1"/>
            </w:pPr>
            <w:r/>
            <w:r>
              <w:rPr>
                <w:rFonts w:ascii="Arial" w:hAnsi="Arial" w:cs="Arial"/>
                <w:b w:val="0"/>
                <w:sz w:val="20"/>
              </w:rPr>
              <w:t>إعادة تقييم بعد كسر الصندوق والعودة من منطقة سيولة يومية أعمق، بشرط ظهور تأكيد جديد.</w:t>
            </w:r>
          </w:p>
        </w:tc>
      </w:tr>
    </w:tbl>
    <w:p/>
    <w:p>
      <w:pPr>
        <w:spacing w:before="200" w:after="100"/>
        <w:jc w:val="right"/>
        <w:bidi w:val="1"/>
      </w:pPr>
      <w:r>
        <w:rPr>
          <w:rFonts w:ascii="Arial" w:hAnsi="Arial" w:cs="Arial"/>
          <w:b/>
          <w:color w:val="183C69"/>
          <w:sz w:val="32"/>
        </w:rPr>
        <w:t>9. قائمة التحقق قبل الدخول</w:t>
      </w:r>
    </w:p>
    <w:tbl>
      <w:tblPr>
        <w:tblStyle w:val="TableGrid"/>
        <w:tblW w:type="auto" w:w="0"/>
        <w:jc w:val="center"/>
        <w:tblLook w:firstColumn="1" w:firstRow="1" w:lastColumn="0" w:lastRow="0" w:noHBand="0" w:noVBand="1" w:val="04A0"/>
      </w:tblPr>
      <w:tblGrid>
        <w:gridCol w:w="3475"/>
        <w:gridCol w:w="3475"/>
        <w:gridCol w:w="3475"/>
      </w:tblGrid>
      <w:tr>
        <w:tc>
          <w:tcPr>
            <w:tcW w:type="dxa" w:w="3475"/>
            <w:vAlign w:val="center"/>
            <w:shd w:fill="183C69"/>
          </w:tcPr>
          <w:p>
            <w:pPr>
              <w:jc w:val="right"/>
              <w:bidi w:val="1"/>
            </w:pPr>
            <w:r/>
            <w:r>
              <w:rPr>
                <w:rFonts w:ascii="Arial" w:hAnsi="Arial" w:cs="Arial"/>
                <w:b/>
                <w:color w:val="FFFFFF"/>
                <w:sz w:val="20"/>
              </w:rPr>
              <w:t>#</w:t>
            </w:r>
          </w:p>
        </w:tc>
        <w:tc>
          <w:tcPr>
            <w:tcW w:type="dxa" w:w="3475"/>
            <w:vAlign w:val="center"/>
            <w:shd w:fill="183C69"/>
          </w:tcPr>
          <w:p>
            <w:pPr>
              <w:jc w:val="right"/>
              <w:bidi w:val="1"/>
            </w:pPr>
            <w:r/>
            <w:r>
              <w:rPr>
                <w:rFonts w:ascii="Arial" w:hAnsi="Arial" w:cs="Arial"/>
                <w:b/>
                <w:color w:val="FFFFFF"/>
                <w:sz w:val="20"/>
              </w:rPr>
              <w:t>السؤال</w:t>
            </w:r>
          </w:p>
        </w:tc>
        <w:tc>
          <w:tcPr>
            <w:tcW w:type="dxa" w:w="3475"/>
            <w:vAlign w:val="center"/>
            <w:shd w:fill="183C69"/>
          </w:tcPr>
          <w:p>
            <w:pPr>
              <w:jc w:val="right"/>
              <w:bidi w:val="1"/>
            </w:pPr>
            <w:r/>
            <w:r>
              <w:rPr>
                <w:rFonts w:ascii="Arial" w:hAnsi="Arial" w:cs="Arial"/>
                <w:b/>
                <w:color w:val="FFFFFF"/>
                <w:sz w:val="20"/>
              </w:rPr>
              <w:t>القرار</w:t>
            </w:r>
          </w:p>
        </w:tc>
      </w:tr>
      <w:tr>
        <w:tc>
          <w:tcPr>
            <w:tcW w:type="dxa" w:w="3475"/>
            <w:vAlign w:val="center"/>
          </w:tcPr>
          <w:p>
            <w:pPr>
              <w:jc w:val="right"/>
              <w:bidi w:val="1"/>
            </w:pPr>
            <w:r/>
            <w:r>
              <w:rPr>
                <w:rFonts w:ascii="Arial" w:hAnsi="Arial" w:cs="Arial"/>
                <w:b/>
                <w:sz w:val="18"/>
              </w:rPr>
              <w:t>1</w:t>
            </w:r>
          </w:p>
        </w:tc>
        <w:tc>
          <w:tcPr>
            <w:tcW w:type="dxa" w:w="3475"/>
            <w:vAlign w:val="center"/>
          </w:tcPr>
          <w:p>
            <w:pPr>
              <w:jc w:val="right"/>
              <w:bidi w:val="1"/>
            </w:pPr>
            <w:r/>
            <w:r>
              <w:rPr>
                <w:rFonts w:ascii="Arial" w:hAnsi="Arial" w:cs="Arial"/>
                <w:b w:val="0"/>
                <w:sz w:val="19"/>
              </w:rPr>
              <w:t>هل تم رسم صندوق اليوم السابق من Daily؟</w:t>
            </w:r>
          </w:p>
        </w:tc>
        <w:tc>
          <w:tcPr>
            <w:tcW w:type="dxa" w:w="3475"/>
            <w:vAlign w:val="center"/>
          </w:tcPr>
          <w:p>
            <w:pPr>
              <w:jc w:val="right"/>
              <w:bidi w:val="1"/>
            </w:pPr>
            <w:r/>
            <w:r>
              <w:rPr>
                <w:rFonts w:ascii="Arial" w:hAnsi="Arial" w:cs="Arial"/>
                <w:b w:val="0"/>
                <w:sz w:val="19"/>
              </w:rPr>
              <w:t>نعم/لا</w:t>
            </w:r>
          </w:p>
        </w:tc>
      </w:tr>
      <w:tr>
        <w:tc>
          <w:tcPr>
            <w:tcW w:type="dxa" w:w="3475"/>
            <w:vAlign w:val="center"/>
          </w:tcPr>
          <w:p>
            <w:pPr>
              <w:jc w:val="right"/>
              <w:bidi w:val="1"/>
            </w:pPr>
            <w:r/>
            <w:r>
              <w:rPr>
                <w:rFonts w:ascii="Arial" w:hAnsi="Arial" w:cs="Arial"/>
                <w:b/>
                <w:sz w:val="18"/>
              </w:rPr>
              <w:t>2</w:t>
            </w:r>
          </w:p>
        </w:tc>
        <w:tc>
          <w:tcPr>
            <w:tcW w:type="dxa" w:w="3475"/>
            <w:vAlign w:val="center"/>
          </w:tcPr>
          <w:p>
            <w:pPr>
              <w:jc w:val="right"/>
              <w:bidi w:val="1"/>
            </w:pPr>
            <w:r/>
            <w:r>
              <w:rPr>
                <w:rFonts w:ascii="Arial" w:hAnsi="Arial" w:cs="Arial"/>
                <w:b w:val="0"/>
                <w:sz w:val="19"/>
              </w:rPr>
              <w:t>هل السعر عند أعلى الصندوق أو أسفله وليس في المنتصف؟</w:t>
            </w:r>
          </w:p>
        </w:tc>
        <w:tc>
          <w:tcPr>
            <w:tcW w:type="dxa" w:w="3475"/>
            <w:vAlign w:val="center"/>
          </w:tcPr>
          <w:p>
            <w:pPr>
              <w:jc w:val="right"/>
              <w:bidi w:val="1"/>
            </w:pPr>
            <w:r/>
            <w:r>
              <w:rPr>
                <w:rFonts w:ascii="Arial" w:hAnsi="Arial" w:cs="Arial"/>
                <w:b w:val="0"/>
                <w:sz w:val="19"/>
              </w:rPr>
              <w:t>نعم/لا</w:t>
            </w:r>
          </w:p>
        </w:tc>
      </w:tr>
      <w:tr>
        <w:tc>
          <w:tcPr>
            <w:tcW w:type="dxa" w:w="3475"/>
            <w:vAlign w:val="center"/>
          </w:tcPr>
          <w:p>
            <w:pPr>
              <w:jc w:val="right"/>
              <w:bidi w:val="1"/>
            </w:pPr>
            <w:r/>
            <w:r>
              <w:rPr>
                <w:rFonts w:ascii="Arial" w:hAnsi="Arial" w:cs="Arial"/>
                <w:b/>
                <w:sz w:val="18"/>
              </w:rPr>
              <w:t>3</w:t>
            </w:r>
          </w:p>
        </w:tc>
        <w:tc>
          <w:tcPr>
            <w:tcW w:type="dxa" w:w="3475"/>
            <w:vAlign w:val="center"/>
          </w:tcPr>
          <w:p>
            <w:pPr>
              <w:jc w:val="right"/>
              <w:bidi w:val="1"/>
            </w:pPr>
            <w:r/>
            <w:r>
              <w:rPr>
                <w:rFonts w:ascii="Arial" w:hAnsi="Arial" w:cs="Arial"/>
                <w:b w:val="0"/>
                <w:sz w:val="19"/>
              </w:rPr>
              <w:t>هل اتجاه الصفقة عكسي مع المنطقة؟ بيع من الأعلى أو شراء من الأسفل؟</w:t>
            </w:r>
          </w:p>
        </w:tc>
        <w:tc>
          <w:tcPr>
            <w:tcW w:type="dxa" w:w="3475"/>
            <w:vAlign w:val="center"/>
          </w:tcPr>
          <w:p>
            <w:pPr>
              <w:jc w:val="right"/>
              <w:bidi w:val="1"/>
            </w:pPr>
            <w:r/>
            <w:r>
              <w:rPr>
                <w:rFonts w:ascii="Arial" w:hAnsi="Arial" w:cs="Arial"/>
                <w:b w:val="0"/>
                <w:sz w:val="19"/>
              </w:rPr>
              <w:t>نعم/لا</w:t>
            </w:r>
          </w:p>
        </w:tc>
      </w:tr>
      <w:tr>
        <w:tc>
          <w:tcPr>
            <w:tcW w:type="dxa" w:w="3475"/>
            <w:vAlign w:val="center"/>
          </w:tcPr>
          <w:p>
            <w:pPr>
              <w:jc w:val="right"/>
              <w:bidi w:val="1"/>
            </w:pPr>
            <w:r/>
            <w:r>
              <w:rPr>
                <w:rFonts w:ascii="Arial" w:hAnsi="Arial" w:cs="Arial"/>
                <w:b/>
                <w:sz w:val="18"/>
              </w:rPr>
              <w:t>4</w:t>
            </w:r>
          </w:p>
        </w:tc>
        <w:tc>
          <w:tcPr>
            <w:tcW w:type="dxa" w:w="3475"/>
            <w:vAlign w:val="center"/>
          </w:tcPr>
          <w:p>
            <w:pPr>
              <w:jc w:val="right"/>
              <w:bidi w:val="1"/>
            </w:pPr>
            <w:r/>
            <w:r>
              <w:rPr>
                <w:rFonts w:ascii="Arial" w:hAnsi="Arial" w:cs="Arial"/>
                <w:b w:val="0"/>
                <w:sz w:val="19"/>
              </w:rPr>
              <w:t>هل ظهرت حركة عاطفية قبل التأكيد؟ 3 إلى 5 شموع باتجاه المنطقة مثاليًا.</w:t>
            </w:r>
          </w:p>
        </w:tc>
        <w:tc>
          <w:tcPr>
            <w:tcW w:type="dxa" w:w="3475"/>
            <w:vAlign w:val="center"/>
          </w:tcPr>
          <w:p>
            <w:pPr>
              <w:jc w:val="right"/>
              <w:bidi w:val="1"/>
            </w:pPr>
            <w:r/>
            <w:r>
              <w:rPr>
                <w:rFonts w:ascii="Arial" w:hAnsi="Arial" w:cs="Arial"/>
                <w:b w:val="0"/>
                <w:sz w:val="19"/>
              </w:rPr>
              <w:t>نعم/لا</w:t>
            </w:r>
          </w:p>
        </w:tc>
      </w:tr>
      <w:tr>
        <w:tc>
          <w:tcPr>
            <w:tcW w:type="dxa" w:w="3475"/>
            <w:vAlign w:val="center"/>
          </w:tcPr>
          <w:p>
            <w:pPr>
              <w:jc w:val="right"/>
              <w:bidi w:val="1"/>
            </w:pPr>
            <w:r/>
            <w:r>
              <w:rPr>
                <w:rFonts w:ascii="Arial" w:hAnsi="Arial" w:cs="Arial"/>
                <w:b/>
                <w:sz w:val="18"/>
              </w:rPr>
              <w:t>5</w:t>
            </w:r>
          </w:p>
        </w:tc>
        <w:tc>
          <w:tcPr>
            <w:tcW w:type="dxa" w:w="3475"/>
            <w:vAlign w:val="center"/>
          </w:tcPr>
          <w:p>
            <w:pPr>
              <w:jc w:val="right"/>
              <w:bidi w:val="1"/>
            </w:pPr>
            <w:r/>
            <w:r>
              <w:rPr>
                <w:rFonts w:ascii="Arial" w:hAnsi="Arial" w:cs="Arial"/>
                <w:b w:val="0"/>
                <w:sz w:val="19"/>
              </w:rPr>
              <w:t>هل ظهرت شمعة تأكيد أولى؟ حمراء للبيع أو خضراء للشراء.</w:t>
            </w:r>
          </w:p>
        </w:tc>
        <w:tc>
          <w:tcPr>
            <w:tcW w:type="dxa" w:w="3475"/>
            <w:vAlign w:val="center"/>
          </w:tcPr>
          <w:p>
            <w:pPr>
              <w:jc w:val="right"/>
              <w:bidi w:val="1"/>
            </w:pPr>
            <w:r/>
            <w:r>
              <w:rPr>
                <w:rFonts w:ascii="Arial" w:hAnsi="Arial" w:cs="Arial"/>
                <w:b w:val="0"/>
                <w:sz w:val="19"/>
              </w:rPr>
              <w:t>نعم/لا</w:t>
            </w:r>
          </w:p>
        </w:tc>
      </w:tr>
      <w:tr>
        <w:tc>
          <w:tcPr>
            <w:tcW w:type="dxa" w:w="3475"/>
            <w:vAlign w:val="center"/>
          </w:tcPr>
          <w:p>
            <w:pPr>
              <w:jc w:val="right"/>
              <w:bidi w:val="1"/>
            </w:pPr>
            <w:r/>
            <w:r>
              <w:rPr>
                <w:rFonts w:ascii="Arial" w:hAnsi="Arial" w:cs="Arial"/>
                <w:b/>
                <w:sz w:val="18"/>
              </w:rPr>
              <w:t>6</w:t>
            </w:r>
          </w:p>
        </w:tc>
        <w:tc>
          <w:tcPr>
            <w:tcW w:type="dxa" w:w="3475"/>
            <w:vAlign w:val="center"/>
          </w:tcPr>
          <w:p>
            <w:pPr>
              <w:jc w:val="right"/>
              <w:bidi w:val="1"/>
            </w:pPr>
            <w:r/>
            <w:r>
              <w:rPr>
                <w:rFonts w:ascii="Arial" w:hAnsi="Arial" w:cs="Arial"/>
                <w:b w:val="0"/>
                <w:sz w:val="19"/>
              </w:rPr>
              <w:t>هل كسرت الشمعة التالية هاي/لو شمعة التأكيد حسب الاتجاه؟</w:t>
            </w:r>
          </w:p>
        </w:tc>
        <w:tc>
          <w:tcPr>
            <w:tcW w:type="dxa" w:w="3475"/>
            <w:vAlign w:val="center"/>
          </w:tcPr>
          <w:p>
            <w:pPr>
              <w:jc w:val="right"/>
              <w:bidi w:val="1"/>
            </w:pPr>
            <w:r/>
            <w:r>
              <w:rPr>
                <w:rFonts w:ascii="Arial" w:hAnsi="Arial" w:cs="Arial"/>
                <w:b w:val="0"/>
                <w:sz w:val="19"/>
              </w:rPr>
              <w:t>نعم/لا</w:t>
            </w:r>
          </w:p>
        </w:tc>
      </w:tr>
      <w:tr>
        <w:tc>
          <w:tcPr>
            <w:tcW w:type="dxa" w:w="3475"/>
            <w:vAlign w:val="center"/>
          </w:tcPr>
          <w:p>
            <w:pPr>
              <w:jc w:val="right"/>
              <w:bidi w:val="1"/>
            </w:pPr>
            <w:r/>
            <w:r>
              <w:rPr>
                <w:rFonts w:ascii="Arial" w:hAnsi="Arial" w:cs="Arial"/>
                <w:b/>
                <w:sz w:val="18"/>
              </w:rPr>
              <w:t>7</w:t>
            </w:r>
          </w:p>
        </w:tc>
        <w:tc>
          <w:tcPr>
            <w:tcW w:type="dxa" w:w="3475"/>
            <w:vAlign w:val="center"/>
          </w:tcPr>
          <w:p>
            <w:pPr>
              <w:jc w:val="right"/>
              <w:bidi w:val="1"/>
            </w:pPr>
            <w:r/>
            <w:r>
              <w:rPr>
                <w:rFonts w:ascii="Arial" w:hAnsi="Arial" w:cs="Arial"/>
                <w:b w:val="0"/>
                <w:sz w:val="19"/>
              </w:rPr>
              <w:t>هل الوقف واضح وصغير نسبيًا فوق/تحت شمعة التأكيد؟</w:t>
            </w:r>
          </w:p>
        </w:tc>
        <w:tc>
          <w:tcPr>
            <w:tcW w:type="dxa" w:w="3475"/>
            <w:vAlign w:val="center"/>
          </w:tcPr>
          <w:p>
            <w:pPr>
              <w:jc w:val="right"/>
              <w:bidi w:val="1"/>
            </w:pPr>
            <w:r/>
            <w:r>
              <w:rPr>
                <w:rFonts w:ascii="Arial" w:hAnsi="Arial" w:cs="Arial"/>
                <w:b w:val="0"/>
                <w:sz w:val="19"/>
              </w:rPr>
              <w:t>نعم/لا</w:t>
            </w:r>
          </w:p>
        </w:tc>
      </w:tr>
      <w:tr>
        <w:tc>
          <w:tcPr>
            <w:tcW w:type="dxa" w:w="3475"/>
            <w:vAlign w:val="center"/>
          </w:tcPr>
          <w:p>
            <w:pPr>
              <w:jc w:val="right"/>
              <w:bidi w:val="1"/>
            </w:pPr>
            <w:r/>
            <w:r>
              <w:rPr>
                <w:rFonts w:ascii="Arial" w:hAnsi="Arial" w:cs="Arial"/>
                <w:b/>
                <w:sz w:val="18"/>
              </w:rPr>
              <w:t>8</w:t>
            </w:r>
          </w:p>
        </w:tc>
        <w:tc>
          <w:tcPr>
            <w:tcW w:type="dxa" w:w="3475"/>
            <w:vAlign w:val="center"/>
          </w:tcPr>
          <w:p>
            <w:pPr>
              <w:jc w:val="right"/>
              <w:bidi w:val="1"/>
            </w:pPr>
            <w:r/>
            <w:r>
              <w:rPr>
                <w:rFonts w:ascii="Arial" w:hAnsi="Arial" w:cs="Arial"/>
                <w:b w:val="0"/>
                <w:sz w:val="19"/>
              </w:rPr>
              <w:t>هل الهدف واضح: منتصف الصندوق ثم الطرف المقابل؟</w:t>
            </w:r>
          </w:p>
        </w:tc>
        <w:tc>
          <w:tcPr>
            <w:tcW w:type="dxa" w:w="3475"/>
            <w:vAlign w:val="center"/>
          </w:tcPr>
          <w:p>
            <w:pPr>
              <w:jc w:val="right"/>
              <w:bidi w:val="1"/>
            </w:pPr>
            <w:r/>
            <w:r>
              <w:rPr>
                <w:rFonts w:ascii="Arial" w:hAnsi="Arial" w:cs="Arial"/>
                <w:b w:val="0"/>
                <w:sz w:val="19"/>
              </w:rPr>
              <w:t>نعم/لا</w:t>
            </w:r>
          </w:p>
        </w:tc>
      </w:tr>
      <w:tr>
        <w:tc>
          <w:tcPr>
            <w:tcW w:type="dxa" w:w="3475"/>
            <w:vAlign w:val="center"/>
          </w:tcPr>
          <w:p>
            <w:pPr>
              <w:jc w:val="right"/>
              <w:bidi w:val="1"/>
            </w:pPr>
            <w:r/>
            <w:r>
              <w:rPr>
                <w:rFonts w:ascii="Arial" w:hAnsi="Arial" w:cs="Arial"/>
                <w:b/>
                <w:sz w:val="18"/>
              </w:rPr>
              <w:t>9</w:t>
            </w:r>
          </w:p>
        </w:tc>
        <w:tc>
          <w:tcPr>
            <w:tcW w:type="dxa" w:w="3475"/>
            <w:vAlign w:val="center"/>
          </w:tcPr>
          <w:p>
            <w:pPr>
              <w:jc w:val="right"/>
              <w:bidi w:val="1"/>
            </w:pPr>
            <w:r/>
            <w:r>
              <w:rPr>
                <w:rFonts w:ascii="Arial" w:hAnsi="Arial" w:cs="Arial"/>
                <w:b w:val="0"/>
                <w:sz w:val="19"/>
              </w:rPr>
              <w:t>هل لديك خطة لنقل الوقف إلى Break Even؟</w:t>
            </w:r>
          </w:p>
        </w:tc>
        <w:tc>
          <w:tcPr>
            <w:tcW w:type="dxa" w:w="3475"/>
            <w:vAlign w:val="center"/>
          </w:tcPr>
          <w:p>
            <w:pPr>
              <w:jc w:val="right"/>
              <w:bidi w:val="1"/>
            </w:pPr>
            <w:r/>
            <w:r>
              <w:rPr>
                <w:rFonts w:ascii="Arial" w:hAnsi="Arial" w:cs="Arial"/>
                <w:b w:val="0"/>
                <w:sz w:val="19"/>
              </w:rPr>
              <w:t>نعم/لا</w:t>
            </w:r>
          </w:p>
        </w:tc>
      </w:tr>
    </w:tbl>
    <w:p/>
    <w:p>
      <w:pPr>
        <w:spacing w:before="200" w:after="100"/>
        <w:jc w:val="right"/>
        <w:bidi w:val="1"/>
      </w:pPr>
      <w:r>
        <w:rPr>
          <w:rFonts w:ascii="Arial" w:hAnsi="Arial" w:cs="Arial"/>
          <w:b/>
          <w:color w:val="183C69"/>
          <w:sz w:val="32"/>
        </w:rPr>
        <w:t>10. النسخة البرمجية المختصرة</w:t>
      </w:r>
    </w:p>
    <w:tbl>
      <w:tblPr>
        <w:tblStyle w:val="TableGrid"/>
        <w:tblW w:type="auto" w:w="0"/>
        <w:jc w:val="center"/>
        <w:tblLook w:firstColumn="1" w:firstRow="1" w:lastColumn="0" w:lastRow="0" w:noHBand="0" w:noVBand="1" w:val="04A0"/>
      </w:tblPr>
      <w:tblGrid>
        <w:gridCol w:w="10426"/>
      </w:tblGrid>
      <w:tr>
        <w:tc>
          <w:tcPr>
            <w:tcW w:type="dxa" w:w="10426"/>
            <w:shd w:fill="F3F7FA"/>
          </w:tcPr>
          <w:p>
            <w:pPr>
              <w:jc w:val="right"/>
              <w:bidi w:val="1"/>
            </w:pPr>
            <w:r>
              <w:rPr>
                <w:rFonts w:ascii="Arial" w:hAnsi="Arial" w:cs="Arial"/>
                <w:b/>
                <w:color w:val="183C69"/>
                <w:sz w:val="22"/>
              </w:rPr>
              <w:t>Variables</w:t>
            </w:r>
          </w:p>
          <w:p>
            <w:pPr>
              <w:spacing w:after="40"/>
              <w:jc w:val="right"/>
              <w:bidi w:val="1"/>
            </w:pPr>
            <w:r>
              <w:rPr>
                <w:rFonts w:ascii="Arial" w:hAnsi="Arial" w:cs="Arial"/>
                <w:b w:val="0"/>
                <w:sz w:val="20"/>
              </w:rPr>
              <w:t>PrevDayHigh</w:t>
            </w:r>
          </w:p>
          <w:p>
            <w:pPr>
              <w:spacing w:after="40"/>
              <w:jc w:val="right"/>
              <w:bidi w:val="1"/>
            </w:pPr>
            <w:r>
              <w:rPr>
                <w:rFonts w:ascii="Arial" w:hAnsi="Arial" w:cs="Arial"/>
                <w:b w:val="0"/>
                <w:sz w:val="20"/>
              </w:rPr>
              <w:t>PrevDayLow</w:t>
            </w:r>
          </w:p>
          <w:p>
            <w:pPr>
              <w:spacing w:after="40"/>
              <w:jc w:val="right"/>
              <w:bidi w:val="1"/>
            </w:pPr>
            <w:r>
              <w:rPr>
                <w:rFonts w:ascii="Arial" w:hAnsi="Arial" w:cs="Arial"/>
                <w:b w:val="0"/>
                <w:sz w:val="20"/>
              </w:rPr>
              <w:t>BoxMid = (PrevDayHigh + PrevDayLow) / 2</w:t>
            </w:r>
          </w:p>
          <w:p>
            <w:pPr>
              <w:spacing w:after="40"/>
              <w:jc w:val="right"/>
              <w:bidi w:val="1"/>
            </w:pPr>
            <w:r>
              <w:rPr>
                <w:rFonts w:ascii="Arial" w:hAnsi="Arial" w:cs="Arial"/>
                <w:b w:val="0"/>
                <w:sz w:val="20"/>
              </w:rPr>
              <w:t>ExecutionTF = M5</w:t>
            </w:r>
          </w:p>
          <w:p>
            <w:pPr>
              <w:spacing w:after="40"/>
              <w:jc w:val="right"/>
              <w:bidi w:val="1"/>
            </w:pPr>
            <w:r>
              <w:rPr>
                <w:rFonts w:ascii="Arial" w:hAnsi="Arial" w:cs="Arial"/>
                <w:b w:val="0"/>
                <w:sz w:val="20"/>
              </w:rPr>
              <w:t>AtTopZone, AtBottomZone, InMiddleZone</w:t>
            </w:r>
          </w:p>
          <w:p>
            <w:pPr>
              <w:spacing w:after="40"/>
              <w:jc w:val="right"/>
              <w:bidi w:val="1"/>
            </w:pPr>
            <w:r>
              <w:rPr>
                <w:rFonts w:ascii="Arial" w:hAnsi="Arial" w:cs="Arial"/>
                <w:b w:val="0"/>
                <w:sz w:val="20"/>
              </w:rPr>
              <w:t>FirstRedConfirmation, FirstGreenConfirmation</w:t>
            </w:r>
          </w:p>
          <w:p>
            <w:pPr>
              <w:spacing w:after="40"/>
              <w:jc w:val="right"/>
              <w:bidi w:val="1"/>
            </w:pPr>
            <w:r>
              <w:rPr>
                <w:rFonts w:ascii="Arial" w:hAnsi="Arial" w:cs="Arial"/>
                <w:b w:val="0"/>
                <w:sz w:val="20"/>
              </w:rPr>
              <w:t>EntryPrice, StopLoss, TP1, TP2</w:t>
            </w:r>
          </w:p>
        </w:tc>
      </w:tr>
    </w:tbl>
    <w:p/>
    <w:tbl>
      <w:tblPr>
        <w:tblStyle w:val="TableGrid"/>
        <w:tblW w:type="auto" w:w="0"/>
        <w:jc w:val="center"/>
        <w:tblLook w:firstColumn="1" w:firstRow="1" w:lastColumn="0" w:lastRow="0" w:noHBand="0" w:noVBand="1" w:val="04A0"/>
      </w:tblPr>
      <w:tblGrid>
        <w:gridCol w:w="10426"/>
      </w:tblGrid>
      <w:tr>
        <w:tc>
          <w:tcPr>
            <w:tcW w:type="dxa" w:w="10426"/>
            <w:shd w:fill="F3F7FA"/>
          </w:tcPr>
          <w:p>
            <w:pPr>
              <w:jc w:val="right"/>
              <w:bidi w:val="1"/>
            </w:pPr>
            <w:r>
              <w:rPr>
                <w:rFonts w:ascii="Arial" w:hAnsi="Arial" w:cs="Arial"/>
                <w:b/>
                <w:color w:val="183C69"/>
                <w:sz w:val="22"/>
              </w:rPr>
              <w:t>Short Engine</w:t>
            </w:r>
          </w:p>
          <w:p>
            <w:pPr>
              <w:spacing w:after="40"/>
              <w:jc w:val="right"/>
              <w:bidi w:val="1"/>
            </w:pPr>
            <w:r>
              <w:rPr>
                <w:rFonts w:ascii="Arial" w:hAnsi="Arial" w:cs="Arial"/>
                <w:b w:val="0"/>
                <w:sz w:val="20"/>
              </w:rPr>
              <w:t>IF price near PrevDayHigh OR slightly sweeps above it</w:t>
            </w:r>
          </w:p>
          <w:p>
            <w:pPr>
              <w:spacing w:after="40"/>
              <w:jc w:val="right"/>
              <w:bidi w:val="1"/>
            </w:pPr>
            <w:r>
              <w:rPr>
                <w:rFonts w:ascii="Arial" w:hAnsi="Arial" w:cs="Arial"/>
                <w:b w:val="0"/>
                <w:sz w:val="20"/>
              </w:rPr>
              <w:t>AND price is not in middle zone</w:t>
            </w:r>
          </w:p>
          <w:p>
            <w:pPr>
              <w:spacing w:after="40"/>
              <w:jc w:val="right"/>
              <w:bidi w:val="1"/>
            </w:pPr>
            <w:r>
              <w:rPr>
                <w:rFonts w:ascii="Arial" w:hAnsi="Arial" w:cs="Arial"/>
                <w:b w:val="0"/>
                <w:sz w:val="20"/>
              </w:rPr>
              <w:t>AND first red confirmation candle closes</w:t>
            </w:r>
          </w:p>
          <w:p>
            <w:pPr>
              <w:spacing w:after="40"/>
              <w:jc w:val="right"/>
              <w:bidi w:val="1"/>
            </w:pPr>
            <w:r>
              <w:rPr>
                <w:rFonts w:ascii="Arial" w:hAnsi="Arial" w:cs="Arial"/>
                <w:b w:val="0"/>
                <w:sz w:val="20"/>
              </w:rPr>
              <w:t>AND next candle breaks below red candle low</w:t>
            </w:r>
          </w:p>
          <w:p>
            <w:pPr>
              <w:spacing w:after="40"/>
              <w:jc w:val="right"/>
              <w:bidi w:val="1"/>
            </w:pPr>
            <w:r>
              <w:rPr>
                <w:rFonts w:ascii="Arial" w:hAnsi="Arial" w:cs="Arial"/>
                <w:b w:val="0"/>
                <w:sz w:val="20"/>
              </w:rPr>
              <w:t>THEN open short</w:t>
            </w:r>
          </w:p>
          <w:p>
            <w:pPr>
              <w:spacing w:after="40"/>
              <w:jc w:val="right"/>
              <w:bidi w:val="1"/>
            </w:pPr>
            <w:r>
              <w:rPr>
                <w:rFonts w:ascii="Arial" w:hAnsi="Arial" w:cs="Arial"/>
                <w:b w:val="0"/>
                <w:sz w:val="20"/>
              </w:rPr>
              <w:t>SL = above confirmation candle high/wick</w:t>
            </w:r>
          </w:p>
          <w:p>
            <w:pPr>
              <w:spacing w:after="40"/>
              <w:jc w:val="right"/>
              <w:bidi w:val="1"/>
            </w:pPr>
            <w:r>
              <w:rPr>
                <w:rFonts w:ascii="Arial" w:hAnsi="Arial" w:cs="Arial"/>
                <w:b w:val="0"/>
                <w:sz w:val="20"/>
              </w:rPr>
              <w:t>TP1 = BoxMid</w:t>
            </w:r>
          </w:p>
          <w:p>
            <w:pPr>
              <w:spacing w:after="40"/>
              <w:jc w:val="right"/>
              <w:bidi w:val="1"/>
            </w:pPr>
            <w:r>
              <w:rPr>
                <w:rFonts w:ascii="Arial" w:hAnsi="Arial" w:cs="Arial"/>
                <w:b w:val="0"/>
                <w:sz w:val="20"/>
              </w:rPr>
              <w:t>TP2 = PrevDayLow or next lower liquidity zone</w:t>
            </w:r>
          </w:p>
        </w:tc>
      </w:tr>
    </w:tbl>
    <w:p/>
    <w:tbl>
      <w:tblPr>
        <w:tblStyle w:val="TableGrid"/>
        <w:tblW w:type="auto" w:w="0"/>
        <w:jc w:val="center"/>
        <w:tblLook w:firstColumn="1" w:firstRow="1" w:lastColumn="0" w:lastRow="0" w:noHBand="0" w:noVBand="1" w:val="04A0"/>
      </w:tblPr>
      <w:tblGrid>
        <w:gridCol w:w="10426"/>
      </w:tblGrid>
      <w:tr>
        <w:tc>
          <w:tcPr>
            <w:tcW w:type="dxa" w:w="10426"/>
            <w:shd w:fill="F3F7FA"/>
          </w:tcPr>
          <w:p>
            <w:pPr>
              <w:jc w:val="right"/>
              <w:bidi w:val="1"/>
            </w:pPr>
            <w:r>
              <w:rPr>
                <w:rFonts w:ascii="Arial" w:hAnsi="Arial" w:cs="Arial"/>
                <w:b/>
                <w:color w:val="183C69"/>
                <w:sz w:val="22"/>
              </w:rPr>
              <w:t>Long Engine</w:t>
            </w:r>
          </w:p>
          <w:p>
            <w:pPr>
              <w:spacing w:after="40"/>
              <w:jc w:val="right"/>
              <w:bidi w:val="1"/>
            </w:pPr>
            <w:r>
              <w:rPr>
                <w:rFonts w:ascii="Arial" w:hAnsi="Arial" w:cs="Arial"/>
                <w:b w:val="0"/>
                <w:sz w:val="20"/>
              </w:rPr>
              <w:t>IF price near PrevDayLow OR slightly sweeps below it</w:t>
            </w:r>
          </w:p>
          <w:p>
            <w:pPr>
              <w:spacing w:after="40"/>
              <w:jc w:val="right"/>
              <w:bidi w:val="1"/>
            </w:pPr>
            <w:r>
              <w:rPr>
                <w:rFonts w:ascii="Arial" w:hAnsi="Arial" w:cs="Arial"/>
                <w:b w:val="0"/>
                <w:sz w:val="20"/>
              </w:rPr>
              <w:t>AND price is not in middle zone</w:t>
            </w:r>
          </w:p>
          <w:p>
            <w:pPr>
              <w:spacing w:after="40"/>
              <w:jc w:val="right"/>
              <w:bidi w:val="1"/>
            </w:pPr>
            <w:r>
              <w:rPr>
                <w:rFonts w:ascii="Arial" w:hAnsi="Arial" w:cs="Arial"/>
                <w:b w:val="0"/>
                <w:sz w:val="20"/>
              </w:rPr>
              <w:t>AND first green confirmation candle closes</w:t>
            </w:r>
          </w:p>
          <w:p>
            <w:pPr>
              <w:spacing w:after="40"/>
              <w:jc w:val="right"/>
              <w:bidi w:val="1"/>
            </w:pPr>
            <w:r>
              <w:rPr>
                <w:rFonts w:ascii="Arial" w:hAnsi="Arial" w:cs="Arial"/>
                <w:b w:val="0"/>
                <w:sz w:val="20"/>
              </w:rPr>
              <w:t>AND next candle breaks above green candle high</w:t>
            </w:r>
          </w:p>
          <w:p>
            <w:pPr>
              <w:spacing w:after="40"/>
              <w:jc w:val="right"/>
              <w:bidi w:val="1"/>
            </w:pPr>
            <w:r>
              <w:rPr>
                <w:rFonts w:ascii="Arial" w:hAnsi="Arial" w:cs="Arial"/>
                <w:b w:val="0"/>
                <w:sz w:val="20"/>
              </w:rPr>
              <w:t>THEN open long</w:t>
            </w:r>
          </w:p>
          <w:p>
            <w:pPr>
              <w:spacing w:after="40"/>
              <w:jc w:val="right"/>
              <w:bidi w:val="1"/>
            </w:pPr>
            <w:r>
              <w:rPr>
                <w:rFonts w:ascii="Arial" w:hAnsi="Arial" w:cs="Arial"/>
                <w:b w:val="0"/>
                <w:sz w:val="20"/>
              </w:rPr>
              <w:t>SL = below confirmation candle low/wick</w:t>
            </w:r>
          </w:p>
          <w:p>
            <w:pPr>
              <w:spacing w:after="40"/>
              <w:jc w:val="right"/>
              <w:bidi w:val="1"/>
            </w:pPr>
            <w:r>
              <w:rPr>
                <w:rFonts w:ascii="Arial" w:hAnsi="Arial" w:cs="Arial"/>
                <w:b w:val="0"/>
                <w:sz w:val="20"/>
              </w:rPr>
              <w:t>TP1 = BoxMid</w:t>
            </w:r>
          </w:p>
          <w:p>
            <w:pPr>
              <w:spacing w:after="40"/>
              <w:jc w:val="right"/>
              <w:bidi w:val="1"/>
            </w:pPr>
            <w:r>
              <w:rPr>
                <w:rFonts w:ascii="Arial" w:hAnsi="Arial" w:cs="Arial"/>
                <w:b w:val="0"/>
                <w:sz w:val="20"/>
              </w:rPr>
              <w:t>TP2 = PrevDayHigh or next upper liquidity zone</w:t>
            </w:r>
          </w:p>
        </w:tc>
      </w:tr>
    </w:tbl>
    <w:p/>
    <w:p>
      <w:pPr>
        <w:spacing w:before="200" w:after="100"/>
        <w:jc w:val="right"/>
        <w:bidi w:val="1"/>
      </w:pPr>
      <w:r>
        <w:rPr>
          <w:rFonts w:ascii="Arial" w:hAnsi="Arial" w:cs="Arial"/>
          <w:b/>
          <w:color w:val="183C69"/>
          <w:sz w:val="32"/>
        </w:rPr>
        <w:t>11. ملاحظات مهمة</w:t>
      </w:r>
    </w:p>
    <w:p>
      <w:pPr>
        <w:spacing w:after="60"/>
        <w:ind w:left="144" w:right="144"/>
        <w:jc w:val="right"/>
        <w:bidi w:val="1"/>
      </w:pPr>
      <w:r>
        <w:rPr>
          <w:rFonts w:ascii="Arial" w:hAnsi="Arial" w:cs="Arial"/>
          <w:b w:val="0"/>
          <w:sz w:val="21"/>
        </w:rPr>
        <w:t>• لا تدخل من منتصف الصندوق حتى لو ظهرت شمعة جميلة؛ الاستراتيجية مبنية على التمركز عند الأطراف.</w:t>
      </w:r>
    </w:p>
    <w:p>
      <w:pPr>
        <w:spacing w:after="60"/>
        <w:ind w:left="144" w:right="144"/>
        <w:jc w:val="right"/>
        <w:bidi w:val="1"/>
      </w:pPr>
      <w:r>
        <w:rPr>
          <w:rFonts w:ascii="Arial" w:hAnsi="Arial" w:cs="Arial"/>
          <w:b w:val="0"/>
          <w:sz w:val="21"/>
        </w:rPr>
        <w:t>• لا تشتري عند قمة اليوم السابق ولا تبيع عند قاع اليوم السابق؛ هذا عكس منطق الاستراتيجية.</w:t>
      </w:r>
    </w:p>
    <w:p>
      <w:pPr>
        <w:spacing w:after="60"/>
        <w:ind w:left="144" w:right="144"/>
        <w:jc w:val="right"/>
        <w:bidi w:val="1"/>
      </w:pPr>
      <w:r>
        <w:rPr>
          <w:rFonts w:ascii="Arial" w:hAnsi="Arial" w:cs="Arial"/>
          <w:b w:val="0"/>
          <w:sz w:val="21"/>
        </w:rPr>
        <w:t>• لا تدخل من القمة أو القاع بدون شمعة تأكيد. الصندوق يعطي منطقة، والشمعة تعطي توقيت الدخول.</w:t>
      </w:r>
    </w:p>
    <w:p>
      <w:pPr>
        <w:spacing w:after="60"/>
        <w:ind w:left="144" w:right="144"/>
        <w:jc w:val="right"/>
        <w:bidi w:val="1"/>
      </w:pPr>
      <w:r>
        <w:rPr>
          <w:rFonts w:ascii="Arial" w:hAnsi="Arial" w:cs="Arial"/>
          <w:b w:val="0"/>
          <w:sz w:val="21"/>
        </w:rPr>
        <w:t>• إعادة الدخول بعد الخسارة ليست انتقامًا؛ يجب أن تكون مبنية على منطقة سيولة يومية أعمق وتأـكيد جديد.</w:t>
      </w:r>
    </w:p>
    <w:p>
      <w:pPr>
        <w:spacing w:after="60"/>
        <w:ind w:left="144" w:right="144"/>
        <w:jc w:val="right"/>
        <w:bidi w:val="1"/>
      </w:pPr>
      <w:r>
        <w:rPr>
          <w:rFonts w:ascii="Arial" w:hAnsi="Arial" w:cs="Arial"/>
          <w:b w:val="0"/>
          <w:sz w:val="21"/>
        </w:rPr>
        <w:t>• اختبر الاستراتيجية على الأصل الذي تتداوله، لأن سرعة الحركة وحجم الوقف يختلفان بين ES وNQ وYM والأسهم والعملات والذهب.</w:t>
      </w:r>
    </w:p>
    <w:p>
      <w:pPr>
        <w:spacing w:before="200" w:after="100"/>
        <w:jc w:val="right"/>
        <w:bidi w:val="1"/>
      </w:pPr>
      <w:r>
        <w:rPr>
          <w:rFonts w:ascii="Arial" w:hAnsi="Arial" w:cs="Arial"/>
          <w:b/>
          <w:color w:val="183C69"/>
          <w:sz w:val="32"/>
        </w:rPr>
        <w:t>12. ملخص تنفيذي</w:t>
      </w:r>
    </w:p>
    <w:p>
      <w:pPr>
        <w:spacing w:after="120" w:line="276" w:lineRule="auto"/>
        <w:jc w:val="right"/>
        <w:bidi w:val="1"/>
      </w:pPr>
      <w:r>
        <w:rPr>
          <w:rFonts w:ascii="Arial" w:hAnsi="Arial" w:cs="Arial"/>
          <w:b w:val="0"/>
          <w:sz w:val="22"/>
        </w:rPr>
        <w:t>استراتيجية صندوق السيولة اليومي وشمعة الشوكة هي استراتيجية تمركز لا تنبؤ. نرسم صندوق اليوم السابق من القمة إلى القاع، ثم ننتظر السعر عند الطرف العلوي للبيع أو الطرف السفلي للشراء. لا ندخل من المنتصف ولا نطارد الاختراقات. الدخول لا يتم إلا بعد شمعة تأكيد واضحة وكسر هاي/لو شمعة التأكيد. إدارة الصفقة تعتمد على نقل الوقف إلى الدخول، أخذ أرباح جزئية عند منتصف الصندوق، واستهداف الطرف المقابل أو منطقة السيولة التالية عند استمرار الحركة.</w:t>
      </w:r>
    </w:p>
    <w:sectPr w:rsidR="00FC693F" w:rsidRPr="0006063C" w:rsidSect="00034616">
      <w:footerReference w:type="default" r:id="rId9"/>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b w:val="0"/>
        <w:color w:val="575757"/>
        <w:sz w:val="16"/>
      </w:rPr>
      <w:t>استراتيجية صندوق السيولة اليومي وشمعة الشوكة - ملف مستقل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