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right"/>
        <w:bidi w:val="1"/>
      </w:pPr>
      <w:r>
        <w:rPr>
          <w:rFonts w:ascii="Arial" w:hAnsi="Arial" w:cs="Arial"/>
          <w:b/>
          <w:color w:val="2CADA8"/>
          <w:sz w:val="36"/>
        </w:rPr>
        <w:t>دليل استراتيجية تداول مستقل</w:t>
      </w:r>
    </w:p>
    <w:p>
      <w:pPr>
        <w:spacing w:after="160"/>
        <w:jc w:val="right"/>
        <w:bidi w:val="1"/>
      </w:pPr>
      <w:r>
        <w:rPr>
          <w:rFonts w:ascii="Arial" w:hAnsi="Arial" w:cs="Arial"/>
          <w:b/>
          <w:color w:val="183C69"/>
          <w:sz w:val="52"/>
        </w:rPr>
        <w:t>استراتيجية الانعكاس السريع بعد شمعة السيولة</w:t>
      </w:r>
    </w:p>
    <w:p>
      <w:pPr>
        <w:jc w:val="left"/>
      </w:pPr>
      <w:r>
        <w:rPr>
          <w:rFonts w:ascii="Arial" w:hAnsi="Arial" w:cs="Arial"/>
          <w:b/>
          <w:color w:val="575757"/>
          <w:sz w:val="30"/>
        </w:rPr>
        <w:t>Quick Flip Opening Liquidity Scalper</w:t>
      </w:r>
    </w:p>
    <w:p>
      <w:pPr>
        <w:spacing w:after="160" w:line="276" w:lineRule="auto"/>
        <w:jc w:val="right"/>
        <w:bidi w:val="1"/>
      </w:pPr>
      <w:r>
        <w:rPr>
          <w:rFonts w:ascii="Arial" w:hAnsi="Arial" w:cs="Arial"/>
          <w:b/>
          <w:color w:val="575757"/>
          <w:sz w:val="25"/>
        </w:rPr>
        <w:t>نسخة منظمة قابلة للتطبيق اليدوي أو التحويل إلى EA / Indicator</w:t>
      </w:r>
    </w:p>
    <w:tbl>
      <w:tblPr>
        <w:tblW w:type="auto" w:w="0"/>
        <w:jc w:val="center"/>
        <w:tblLayout w:type="autofit"/>
        <w:tblLook w:firstColumn="1" w:firstRow="1" w:lastColumn="0" w:lastRow="0" w:noHBand="0" w:noVBand="1" w:val="04A0"/>
      </w:tblPr>
      <w:tblGrid>
        <w:gridCol w:w="10656"/>
      </w:tblGrid>
      <w:tr>
        <w:tc>
          <w:tcPr>
            <w:tcW w:type="dxa" w:w="10656"/>
            <w:shd w:fill="EAF6F6"/>
            <w:tcMar>
              <w:top w:w="140" w:type="dxa"/>
              <w:start w:w="160" w:type="dxa"/>
              <w:bottom w:w="140" w:type="dxa"/>
              <w:end w:w="160" w:type="dxa"/>
            </w:tcMar>
            <w:textDirection w:val="rl"/>
          </w:tcPr>
          <w:p>
            <w:pPr>
              <w:jc w:val="right"/>
              <w:bidi w:val="1"/>
            </w:pPr>
            <w:r>
              <w:rPr>
                <w:rFonts w:ascii="Arial" w:hAnsi="Arial" w:cs="Arial"/>
                <w:b/>
                <w:color w:val="183C69"/>
                <w:sz w:val="25"/>
              </w:rPr>
              <w:t>الفكرة في جملة واحدة</w:t>
            </w:r>
          </w:p>
          <w:p>
            <w:pPr>
              <w:spacing w:after="60"/>
              <w:jc w:val="right"/>
              <w:bidi w:val="1"/>
            </w:pPr>
            <w:r>
              <w:rPr>
                <w:rFonts w:ascii="Arial" w:hAnsi="Arial" w:cs="Arial"/>
                <w:color w:val="575757"/>
                <w:sz w:val="22"/>
              </w:rPr>
              <w:t>نرسم نطاق أول 15 دقيقة من افتتاح السوق، نتأكد أن شمعة الافتتاح شمعة سيولة قوية، ثم ننتظر خارج هذا النطاق شمعة انعكاسية واضحة خلال أول 90 دقيقة للدخول عكس اتجاه شمعة السيولة.</w:t>
            </w:r>
          </w:p>
        </w:tc>
      </w:tr>
    </w:tbl>
    <w:p/>
    <w:p>
      <w:pPr>
        <w:spacing w:after="40" w:line="276" w:lineRule="auto"/>
        <w:jc w:val="right"/>
        <w:bidi w:val="1"/>
      </w:pPr>
      <w:r>
        <w:rPr>
          <w:rFonts w:ascii="Arial" w:hAnsi="Arial" w:cs="Arial"/>
          <w:b w:val="0"/>
          <w:color w:val="787878"/>
          <w:sz w:val="21"/>
        </w:rPr>
        <w:t>ملاحظة: هذه الوثيقة تنظّم منطق الاستراتيجية فقط، وليست توصية مالية. يجب اختبارها على الأصل المالي والفريم والسوق قبل استخدامها بحساب حقيقي.</w:t>
      </w:r>
    </w:p>
    <w:p>
      <w:r>
        <w:br w:type="page"/>
      </w:r>
    </w:p>
    <w:p>
      <w:pPr>
        <w:spacing w:after="160" w:line="276" w:lineRule="auto" w:before="240"/>
        <w:jc w:val="right"/>
        <w:bidi w:val="1"/>
      </w:pPr>
      <w:r>
        <w:rPr>
          <w:rFonts w:ascii="Arial" w:hAnsi="Arial" w:cs="Arial"/>
          <w:b/>
          <w:color w:val="183C69"/>
          <w:sz w:val="36"/>
        </w:rPr>
        <w:t>1) اسم الاستراتيجية</w:t>
      </w:r>
    </w:p>
    <w:tbl>
      <w:tblPr>
        <w:tblStyle w:val="TableGrid"/>
        <w:tblW w:type="auto" w:w="0"/>
        <w:jc w:val="center"/>
        <w:tblLook w:firstColumn="1" w:firstRow="1" w:lastColumn="0" w:lastRow="0" w:noHBand="0" w:noVBand="1" w:val="04A0"/>
      </w:tblPr>
      <w:tblGrid>
        <w:gridCol w:w="5328"/>
        <w:gridCol w:w="5328"/>
      </w:tblGrid>
      <w:tr>
        <w:tc>
          <w:tcPr>
            <w:tcW w:type="dxa" w:w="5328"/>
            <w:shd w:fill="183C69"/>
            <w:textDirection w:val="rl"/>
            <w:tcMar>
              <w:top w:w="80" w:type="dxa"/>
              <w:start w:w="100" w:type="dxa"/>
              <w:bottom w:w="80" w:type="dxa"/>
              <w:end w:w="100" w:type="dxa"/>
            </w:tcMar>
          </w:tcPr>
          <w:p>
            <w:pPr>
              <w:jc w:val="right"/>
              <w:bidi w:val="1"/>
            </w:pPr>
            <w:r>
              <w:rPr>
                <w:rFonts w:ascii="Arial" w:hAnsi="Arial" w:cs="Arial"/>
                <w:b/>
                <w:color w:val="FFFFFF"/>
                <w:sz w:val="22"/>
              </w:rPr>
              <w:t>البند</w:t>
            </w:r>
          </w:p>
        </w:tc>
        <w:tc>
          <w:tcPr>
            <w:tcW w:type="dxa" w:w="5328"/>
            <w:shd w:fill="183C69"/>
            <w:textDirection w:val="rl"/>
            <w:tcMar>
              <w:top w:w="80" w:type="dxa"/>
              <w:start w:w="100" w:type="dxa"/>
              <w:bottom w:w="80" w:type="dxa"/>
              <w:end w:w="100" w:type="dxa"/>
            </w:tcMar>
          </w:tcPr>
          <w:p>
            <w:pPr>
              <w:jc w:val="right"/>
              <w:bidi w:val="1"/>
            </w:pPr>
            <w:r>
              <w:rPr>
                <w:rFonts w:ascii="Arial" w:hAnsi="Arial" w:cs="Arial"/>
                <w:b/>
                <w:color w:val="FFFFFF"/>
                <w:sz w:val="22"/>
              </w:rPr>
              <w:t>القيمة / القاعدة</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الاسم العربي المعتمد</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استراتيجية الانعكاس السريع بعد شمعة السيولة</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الاسم الإنجليزي</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Quick Flip Opening Liquidity Scalper</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نوع الاستراتيجية</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Scalping / Opening Range Reversal</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الفترة المستهدفة</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أول 90 دقيقة من افتتاح السوق</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الفكرة الأساسية</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استغلال شمعة افتتاح قوية غالبًا تكون مصممة لصناعة السيولة، ثم الدخول عكسها بعد ظهور شمعة انعكاسية خارج نطاق الافتتاح.</w:t>
            </w:r>
          </w:p>
        </w:tc>
      </w:tr>
    </w:tbl>
    <w:p/>
    <w:p>
      <w:pPr>
        <w:spacing w:after="160" w:line="276" w:lineRule="auto" w:before="240"/>
        <w:jc w:val="right"/>
        <w:bidi w:val="1"/>
      </w:pPr>
      <w:r>
        <w:rPr>
          <w:rFonts w:ascii="Arial" w:hAnsi="Arial" w:cs="Arial"/>
          <w:b/>
          <w:color w:val="183C69"/>
          <w:sz w:val="36"/>
        </w:rPr>
        <w:t>2) لماذا هذا الاسم؟</w:t>
      </w:r>
    </w:p>
    <w:p>
      <w:pPr>
        <w:spacing w:after="120" w:line="276" w:lineRule="auto"/>
        <w:jc w:val="right"/>
        <w:bidi w:val="1"/>
      </w:pPr>
      <w:r>
        <w:rPr>
          <w:rFonts w:ascii="Arial" w:hAnsi="Arial" w:cs="Arial"/>
          <w:b w:val="0"/>
          <w:color w:val="575757"/>
          <w:sz w:val="23"/>
        </w:rPr>
        <w:t>اخترت اسم “الانعكاس السريع بعد شمعة السيولة” لأن جوهر الاستراتيجية ليس مجرد نطاق افتتاح، بل انتظار حركة افتتاح عنيفة تجذب المتداولين وتضرب وقف الخسارة، ثم البحث عن انعكاس سريع خارج نطاق أول 15 دقيقة.</w:t>
      </w:r>
    </w:p>
    <w:p>
      <w:pPr>
        <w:spacing w:after="80"/>
        <w:ind w:right="280" w:hanging="280"/>
        <w:jc w:val="right"/>
        <w:bidi w:val="1"/>
      </w:pPr>
      <w:r>
        <w:rPr>
          <w:rFonts w:ascii="Arial" w:hAnsi="Arial" w:cs="Arial"/>
          <w:color w:val="575757"/>
          <w:sz w:val="23"/>
        </w:rPr>
        <w:t>• “شمعة السيولة” تعني أن شمعة الافتتاح كبيرة وسريعة بما يكفي مقارنة بمتوسط حركة الأصل اليومية.</w:t>
      </w:r>
    </w:p>
    <w:p>
      <w:pPr>
        <w:spacing w:after="80"/>
        <w:ind w:right="280" w:hanging="280"/>
        <w:jc w:val="right"/>
        <w:bidi w:val="1"/>
      </w:pPr>
      <w:r>
        <w:rPr>
          <w:rFonts w:ascii="Arial" w:hAnsi="Arial" w:cs="Arial"/>
          <w:color w:val="575757"/>
          <w:sz w:val="23"/>
        </w:rPr>
        <w:t>• “الانعكاس السريع” يعني أن الدخول لا يتم مع الحركة الأولى، بل بعد ظهور شمعة انعكاسية خارج نطاق الافتتاح.</w:t>
      </w:r>
    </w:p>
    <w:p>
      <w:pPr>
        <w:spacing w:after="80"/>
        <w:ind w:right="280" w:hanging="280"/>
        <w:jc w:val="right"/>
        <w:bidi w:val="1"/>
      </w:pPr>
      <w:r>
        <w:rPr>
          <w:rFonts w:ascii="Arial" w:hAnsi="Arial" w:cs="Arial"/>
          <w:color w:val="575757"/>
          <w:sz w:val="23"/>
        </w:rPr>
        <w:t>• الاستراتيجية مصممة للتداول في بداية الجلسة فقط، وليست استراتيجية طوال اليوم.</w:t>
      </w:r>
    </w:p>
    <w:p>
      <w:pPr>
        <w:spacing w:after="160" w:line="276" w:lineRule="auto" w:before="240"/>
        <w:jc w:val="right"/>
        <w:bidi w:val="1"/>
      </w:pPr>
      <w:r>
        <w:rPr>
          <w:rFonts w:ascii="Arial" w:hAnsi="Arial" w:cs="Arial"/>
          <w:b/>
          <w:color w:val="183C69"/>
          <w:sz w:val="36"/>
        </w:rPr>
        <w:t>3) الأدوات والفريمات المطلوبة</w:t>
      </w:r>
    </w:p>
    <w:tbl>
      <w:tblPr>
        <w:tblStyle w:val="TableGrid"/>
        <w:tblW w:type="auto" w:w="0"/>
        <w:jc w:val="center"/>
        <w:tblLook w:firstColumn="1" w:firstRow="1" w:lastColumn="0" w:lastRow="0" w:noHBand="0" w:noVBand="1" w:val="04A0"/>
      </w:tblPr>
      <w:tblGrid>
        <w:gridCol w:w="5328"/>
        <w:gridCol w:w="5328"/>
      </w:tblGrid>
      <w:tr>
        <w:tc>
          <w:tcPr>
            <w:tcW w:type="dxa" w:w="5328"/>
            <w:shd w:fill="183C69"/>
            <w:textDirection w:val="rl"/>
            <w:tcMar>
              <w:top w:w="80" w:type="dxa"/>
              <w:start w:w="100" w:type="dxa"/>
              <w:bottom w:w="80" w:type="dxa"/>
              <w:end w:w="100" w:type="dxa"/>
            </w:tcMar>
          </w:tcPr>
          <w:p>
            <w:pPr>
              <w:jc w:val="right"/>
              <w:bidi w:val="1"/>
            </w:pPr>
            <w:r>
              <w:rPr>
                <w:rFonts w:ascii="Arial" w:hAnsi="Arial" w:cs="Arial"/>
                <w:b/>
                <w:color w:val="FFFFFF"/>
                <w:sz w:val="22"/>
              </w:rPr>
              <w:t>البند</w:t>
            </w:r>
          </w:p>
        </w:tc>
        <w:tc>
          <w:tcPr>
            <w:tcW w:type="dxa" w:w="5328"/>
            <w:shd w:fill="183C69"/>
            <w:textDirection w:val="rl"/>
            <w:tcMar>
              <w:top w:w="80" w:type="dxa"/>
              <w:start w:w="100" w:type="dxa"/>
              <w:bottom w:w="80" w:type="dxa"/>
              <w:end w:w="100" w:type="dxa"/>
            </w:tcMar>
          </w:tcPr>
          <w:p>
            <w:pPr>
              <w:jc w:val="right"/>
              <w:bidi w:val="1"/>
            </w:pPr>
            <w:r>
              <w:rPr>
                <w:rFonts w:ascii="Arial" w:hAnsi="Arial" w:cs="Arial"/>
                <w:b/>
                <w:color w:val="FFFFFF"/>
                <w:sz w:val="22"/>
              </w:rPr>
              <w:t>القيمة / القاعدة</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فريم رسم نطاق الافتتاح</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15 دقيقة M15</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فريم حساب ATR</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الفريم اليومي D1، إعداد ATR الافتراضي 14</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فريم البحث عن الدخول</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5 دقائق مفضل، ويمكن استخدام 3 دقائق أو 2 دقيقة أو 1 دقيقة</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أداة الرسم</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Box لرسم أعلى وأدنى شمعة افتتاح أول 15 دقيقة</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الشموع المطلوبة</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Hammer / Inverted Hammer أو Bullish / Bearish Engulfing</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مدة صلاحية الفرصة</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أول 90 دقيقة من افتتاح السوق فقط</w:t>
            </w:r>
          </w:p>
        </w:tc>
      </w:tr>
    </w:tbl>
    <w:p/>
    <w:p>
      <w:pPr>
        <w:spacing w:after="160" w:line="276" w:lineRule="auto" w:before="240"/>
        <w:jc w:val="right"/>
        <w:bidi w:val="1"/>
      </w:pPr>
      <w:r>
        <w:rPr>
          <w:rFonts w:ascii="Arial" w:hAnsi="Arial" w:cs="Arial"/>
          <w:b/>
          <w:color w:val="183C69"/>
          <w:sz w:val="36"/>
        </w:rPr>
        <w:t>4) الخطوة الأولى: رسم نطاق الافتتاح</w:t>
      </w:r>
    </w:p>
    <w:p>
      <w:pPr>
        <w:spacing w:after="80"/>
        <w:ind w:right="360" w:hanging="360"/>
        <w:jc w:val="right"/>
        <w:bidi w:val="1"/>
      </w:pPr>
      <w:r>
        <w:rPr>
          <w:rFonts w:ascii="Arial" w:hAnsi="Arial" w:cs="Arial"/>
          <w:color w:val="575757"/>
          <w:sz w:val="23"/>
        </w:rPr>
        <w:t>1. افتح الأصل المالي على فريم 15 دقيقة.</w:t>
      </w:r>
    </w:p>
    <w:p>
      <w:pPr>
        <w:spacing w:after="80"/>
        <w:ind w:right="360" w:hanging="360"/>
        <w:jc w:val="right"/>
        <w:bidi w:val="1"/>
      </w:pPr>
      <w:r>
        <w:rPr>
          <w:rFonts w:ascii="Arial" w:hAnsi="Arial" w:cs="Arial"/>
          <w:color w:val="575757"/>
          <w:sz w:val="23"/>
        </w:rPr>
        <w:t>2. انتظر إغلاق أول شمعة 15 دقيقة بعد افتتاح السوق.</w:t>
      </w:r>
    </w:p>
    <w:p>
      <w:pPr>
        <w:spacing w:after="80"/>
        <w:ind w:right="360" w:hanging="360"/>
        <w:jc w:val="right"/>
        <w:bidi w:val="1"/>
      </w:pPr>
      <w:r>
        <w:rPr>
          <w:rFonts w:ascii="Arial" w:hAnsi="Arial" w:cs="Arial"/>
          <w:color w:val="575757"/>
          <w:sz w:val="23"/>
        </w:rPr>
        <w:t>3. ارسم صندوقًا من أعلى سعر في الشمعة إلى أدنى سعر في الشمعة، مع احتساب الذيول.</w:t>
      </w:r>
    </w:p>
    <w:p>
      <w:pPr>
        <w:spacing w:after="80"/>
        <w:ind w:right="360" w:hanging="360"/>
        <w:jc w:val="right"/>
        <w:bidi w:val="1"/>
      </w:pPr>
      <w:r>
        <w:rPr>
          <w:rFonts w:ascii="Arial" w:hAnsi="Arial" w:cs="Arial"/>
          <w:color w:val="575757"/>
          <w:sz w:val="23"/>
        </w:rPr>
        <w:t>4. مدد الصندوق إلى الأمام حتى نهاية أول 90 دقيقة من الافتتاح.</w:t>
      </w:r>
    </w:p>
    <w:p>
      <w:pPr>
        <w:spacing w:after="80"/>
        <w:ind w:right="360" w:hanging="360"/>
        <w:jc w:val="right"/>
        <w:bidi w:val="1"/>
      </w:pPr>
      <w:r>
        <w:rPr>
          <w:rFonts w:ascii="Arial" w:hAnsi="Arial" w:cs="Arial"/>
          <w:color w:val="575757"/>
          <w:sz w:val="23"/>
        </w:rPr>
        <w:t>5. هذا الصندوق هو مرجع الدخول والهدف.</w:t>
      </w:r>
    </w:p>
    <w:tbl>
      <w:tblPr>
        <w:tblW w:type="auto" w:w="0"/>
        <w:jc w:val="center"/>
        <w:tblLayout w:type="autofit"/>
        <w:tblLook w:firstColumn="1" w:firstRow="1" w:lastColumn="0" w:lastRow="0" w:noHBand="0" w:noVBand="1" w:val="04A0"/>
      </w:tblPr>
      <w:tblGrid>
        <w:gridCol w:w="10656"/>
      </w:tblGrid>
      <w:tr>
        <w:tc>
          <w:tcPr>
            <w:tcW w:type="dxa" w:w="10656"/>
            <w:shd w:fill="F7FBFC"/>
            <w:tcMar>
              <w:top w:w="140" w:type="dxa"/>
              <w:start w:w="160" w:type="dxa"/>
              <w:bottom w:w="140" w:type="dxa"/>
              <w:end w:w="160" w:type="dxa"/>
            </w:tcMar>
            <w:textDirection w:val="rl"/>
          </w:tcPr>
          <w:p>
            <w:pPr>
              <w:jc w:val="right"/>
              <w:bidi w:val="1"/>
            </w:pPr>
            <w:r>
              <w:rPr>
                <w:rFonts w:ascii="Arial" w:hAnsi="Arial" w:cs="Arial"/>
                <w:b/>
                <w:color w:val="183C69"/>
                <w:sz w:val="25"/>
              </w:rPr>
              <w:t>قاعدة الرسم</w:t>
            </w:r>
          </w:p>
          <w:p>
            <w:pPr>
              <w:spacing w:after="60"/>
              <w:jc w:val="right"/>
              <w:bidi w:val="1"/>
            </w:pPr>
            <w:r>
              <w:rPr>
                <w:rFonts w:ascii="Arial" w:hAnsi="Arial" w:cs="Arial"/>
                <w:color w:val="575757"/>
                <w:sz w:val="22"/>
              </w:rPr>
              <w:t>OpeningRangeHigh = أعلى سعر في أول شمعة 15 دقيقة</w:t>
            </w:r>
          </w:p>
          <w:p>
            <w:pPr>
              <w:spacing w:after="60"/>
              <w:jc w:val="right"/>
              <w:bidi w:val="1"/>
            </w:pPr>
            <w:r>
              <w:rPr>
                <w:rFonts w:ascii="Arial" w:hAnsi="Arial" w:cs="Arial"/>
                <w:color w:val="575757"/>
                <w:sz w:val="22"/>
              </w:rPr>
              <w:t>OpeningRangeLow  = أدنى سعر في أول شمعة 15 دقيقة</w:t>
            </w:r>
          </w:p>
          <w:p>
            <w:pPr>
              <w:spacing w:after="60"/>
              <w:jc w:val="right"/>
              <w:bidi w:val="1"/>
            </w:pPr>
            <w:r>
              <w:rPr>
                <w:rFonts w:ascii="Arial" w:hAnsi="Arial" w:cs="Arial"/>
                <w:color w:val="575757"/>
                <w:sz w:val="22"/>
              </w:rPr>
              <w:t>OpeningRangeSize = OpeningRangeHigh - OpeningRangeLow</w:t>
            </w:r>
          </w:p>
        </w:tc>
      </w:tr>
    </w:tbl>
    <w:p/>
    <w:p>
      <w:pPr>
        <w:spacing w:after="160" w:line="276" w:lineRule="auto" w:before="240"/>
        <w:jc w:val="right"/>
        <w:bidi w:val="1"/>
      </w:pPr>
      <w:r>
        <w:rPr>
          <w:rFonts w:ascii="Arial" w:hAnsi="Arial" w:cs="Arial"/>
          <w:b/>
          <w:color w:val="183C69"/>
          <w:sz w:val="36"/>
        </w:rPr>
        <w:t>5) الخطوة الثانية: تأكيد شمعة السيولة</w:t>
      </w:r>
    </w:p>
    <w:p>
      <w:pPr>
        <w:spacing w:after="120" w:line="276" w:lineRule="auto"/>
        <w:jc w:val="right"/>
        <w:bidi w:val="1"/>
      </w:pPr>
      <w:r>
        <w:rPr>
          <w:rFonts w:ascii="Arial" w:hAnsi="Arial" w:cs="Arial"/>
          <w:b w:val="0"/>
          <w:color w:val="575757"/>
          <w:sz w:val="23"/>
        </w:rPr>
        <w:t>ليست كل شمعة افتتاح تصلح. يجب أن تكون شمعة الافتتاح كبيرة مقارنة بمتوسط الحركة اليومي للأصل. لذلك نستخدم ATR على الفريم اليومي.</w:t>
      </w:r>
    </w:p>
    <w:p>
      <w:pPr>
        <w:spacing w:after="80"/>
        <w:ind w:right="360" w:hanging="360"/>
        <w:jc w:val="right"/>
        <w:bidi w:val="1"/>
      </w:pPr>
      <w:r>
        <w:rPr>
          <w:rFonts w:ascii="Arial" w:hAnsi="Arial" w:cs="Arial"/>
          <w:color w:val="575757"/>
          <w:sz w:val="23"/>
        </w:rPr>
        <w:t>1. انتقل إلى الفريم اليومي D1.</w:t>
      </w:r>
    </w:p>
    <w:p>
      <w:pPr>
        <w:spacing w:after="80"/>
        <w:ind w:right="360" w:hanging="360"/>
        <w:jc w:val="right"/>
        <w:bidi w:val="1"/>
      </w:pPr>
      <w:r>
        <w:rPr>
          <w:rFonts w:ascii="Arial" w:hAnsi="Arial" w:cs="Arial"/>
          <w:color w:val="575757"/>
          <w:sz w:val="23"/>
        </w:rPr>
        <w:t>2. أضف مؤشر Average True Range بإعداد 14.</w:t>
      </w:r>
    </w:p>
    <w:p>
      <w:pPr>
        <w:spacing w:after="80"/>
        <w:ind w:right="360" w:hanging="360"/>
        <w:jc w:val="right"/>
        <w:bidi w:val="1"/>
      </w:pPr>
      <w:r>
        <w:rPr>
          <w:rFonts w:ascii="Arial" w:hAnsi="Arial" w:cs="Arial"/>
          <w:color w:val="575757"/>
          <w:sz w:val="23"/>
        </w:rPr>
        <w:t>3. احسب 25% من قيمة ATR.</w:t>
      </w:r>
    </w:p>
    <w:p>
      <w:pPr>
        <w:spacing w:after="80"/>
        <w:ind w:right="360" w:hanging="360"/>
        <w:jc w:val="right"/>
        <w:bidi w:val="1"/>
      </w:pPr>
      <w:r>
        <w:rPr>
          <w:rFonts w:ascii="Arial" w:hAnsi="Arial" w:cs="Arial"/>
          <w:color w:val="575757"/>
          <w:sz w:val="23"/>
        </w:rPr>
        <w:t>4. ارجع إلى شمعة افتتاح أول 15 دقيقة.</w:t>
      </w:r>
    </w:p>
    <w:p>
      <w:pPr>
        <w:spacing w:after="80"/>
        <w:ind w:right="360" w:hanging="360"/>
        <w:jc w:val="right"/>
        <w:bidi w:val="1"/>
      </w:pPr>
      <w:r>
        <w:rPr>
          <w:rFonts w:ascii="Arial" w:hAnsi="Arial" w:cs="Arial"/>
          <w:color w:val="575757"/>
          <w:sz w:val="23"/>
        </w:rPr>
        <w:t>5. إذا كان حجم شمعة الافتتاح من أعلى نقطة إلى أدنى نقطة يساوي أو يتجاوز 25% من ATR، فهي شمعة سيولة صالحة.</w:t>
      </w:r>
    </w:p>
    <w:tbl>
      <w:tblPr>
        <w:tblW w:type="auto" w:w="0"/>
        <w:jc w:val="center"/>
        <w:tblLook w:firstColumn="1" w:firstRow="1" w:lastColumn="0" w:lastRow="0" w:noHBand="0" w:noVBand="1" w:val="04A0"/>
      </w:tblPr>
      <w:tblGrid>
        <w:gridCol w:w="10656"/>
      </w:tblGrid>
      <w:tr>
        <w:tc>
          <w:tcPr>
            <w:tcW w:type="dxa" w:w="10656"/>
            <w:shd w:fill="F4F4F4"/>
            <w:tcMar>
              <w:top w:w="140" w:type="dxa"/>
              <w:start w:w="180" w:type="dxa"/>
              <w:bottom w:w="140" w:type="dxa"/>
              <w:end w:w="180" w:type="dxa"/>
            </w:tcMar>
            <w:textDirection w:val="lr"/>
          </w:tcPr>
          <w:p>
            <w:pPr>
              <w:spacing w:line="240" w:lineRule="auto"/>
              <w:jc w:val="left"/>
            </w:pPr>
            <w:r>
              <w:rPr>
                <w:rFonts w:ascii="Consolas" w:hAnsi="Consolas"/>
                <w:color w:val="414141"/>
                <w:sz w:val="19"/>
              </w:rPr>
              <w:t>DailyATR = ATR(14) on D1</w:t>
            </w:r>
            <w:r>
              <w:br/>
            </w:r>
            <w:r>
              <w:rPr>
                <w:rFonts w:ascii="Consolas" w:hAnsi="Consolas"/>
                <w:color w:val="414141"/>
                <w:sz w:val="19"/>
              </w:rPr>
              <w:t>LiquidityThreshold = DailyATR * 0.25</w:t>
            </w:r>
            <w:r>
              <w:br/>
            </w:r>
            <w:r>
              <w:rPr>
                <w:rFonts w:ascii="Consolas" w:hAnsi="Consolas"/>
                <w:color w:val="414141"/>
                <w:sz w:val="19"/>
              </w:rPr>
              <w:t>OpeningRangeSize = OpeningRangeHigh - OpeningRangeLow</w:t>
            </w:r>
            <w:r>
              <w:br/>
            </w:r>
            <w:r>
              <w:rPr>
                <w:rFonts w:ascii="Consolas" w:hAnsi="Consolas"/>
                <w:color w:val="414141"/>
                <w:sz w:val="19"/>
              </w:rPr>
            </w:r>
            <w:r>
              <w:br/>
            </w:r>
            <w:r>
              <w:rPr>
                <w:rFonts w:ascii="Consolas" w:hAnsi="Consolas"/>
                <w:color w:val="414141"/>
                <w:sz w:val="19"/>
              </w:rPr>
              <w:t>IF OpeningRangeSize &gt;= LiquidityThreshold</w:t>
            </w:r>
            <w:r>
              <w:br/>
            </w:r>
            <w:r>
              <w:rPr>
                <w:rFonts w:ascii="Consolas" w:hAnsi="Consolas"/>
                <w:color w:val="414141"/>
                <w:sz w:val="19"/>
              </w:rPr>
              <w:t>THEN Opening Candle = Valid Liquidity Candle</w:t>
            </w:r>
            <w:r>
              <w:br/>
            </w:r>
            <w:r>
              <w:rPr>
                <w:rFonts w:ascii="Consolas" w:hAnsi="Consolas"/>
                <w:color w:val="414141"/>
                <w:sz w:val="19"/>
              </w:rPr>
              <w:t>ELSE No Trade</w:t>
            </w:r>
          </w:p>
        </w:tc>
      </w:tr>
    </w:tbl>
    <w:p/>
    <w:p>
      <w:pPr>
        <w:spacing w:after="120" w:line="276" w:lineRule="auto"/>
        <w:jc w:val="right"/>
        <w:bidi w:val="1"/>
      </w:pPr>
      <w:r>
        <w:rPr>
          <w:rFonts w:ascii="Arial" w:hAnsi="Arial" w:cs="Arial"/>
          <w:b w:val="0"/>
          <w:color w:val="646464"/>
          <w:sz w:val="21"/>
        </w:rPr>
        <w:t>ملاحظة عملية: إذا كانت النسبة قريبة جدًا من 25% مثل 22% أو 23% يمكن قبولها في الاختبار، لكن القاعدة الرسمية الأفضل هي 25% أو أكثر.</w:t>
      </w:r>
    </w:p>
    <w:p>
      <w:pPr>
        <w:spacing w:after="160" w:line="276" w:lineRule="auto" w:before="240"/>
        <w:jc w:val="right"/>
        <w:bidi w:val="1"/>
      </w:pPr>
      <w:r>
        <w:rPr>
          <w:rFonts w:ascii="Arial" w:hAnsi="Arial" w:cs="Arial"/>
          <w:b/>
          <w:color w:val="183C69"/>
          <w:sz w:val="36"/>
        </w:rPr>
        <w:t>6) اتجاه الصفقة</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نوع شمعة السيولة</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أين نبحث؟</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نوع الدخول المطلوب</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الهدف الرئيسي</w:t>
            </w:r>
          </w:p>
        </w:tc>
      </w:tr>
      <w:tr>
        <w:tc>
          <w:tcPr>
            <w:tcW w:type="dxa" w:w="2664"/>
            <w:textDirection w:val="rl"/>
            <w:tcMar>
              <w:top w:w="80" w:type="dxa"/>
              <w:start w:w="100" w:type="dxa"/>
              <w:bottom w:w="80" w:type="dxa"/>
              <w:end w:w="100" w:type="dxa"/>
            </w:tcMar>
          </w:tcPr>
          <w:p>
            <w:pPr>
              <w:jc w:val="right"/>
              <w:bidi w:val="1"/>
            </w:pPr>
            <w:r>
              <w:rPr>
                <w:rFonts w:ascii="Arial" w:hAnsi="Arial" w:cs="Arial"/>
                <w:b/>
                <w:color w:val="183C69"/>
                <w:sz w:val="20"/>
              </w:rPr>
              <w:t>شمعة افتتاح خضراء / صاعدة</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فوق أعلى نطاق الافتتاح</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بيع بعد شمعة انعكاسية هابطة</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أسفل نطاق الافتتاح</w:t>
            </w:r>
          </w:p>
        </w:tc>
      </w:tr>
      <w:tr>
        <w:tc>
          <w:tcPr>
            <w:tcW w:type="dxa" w:w="2664"/>
            <w:textDirection w:val="rl"/>
            <w:tcMar>
              <w:top w:w="80" w:type="dxa"/>
              <w:start w:w="100" w:type="dxa"/>
              <w:bottom w:w="80" w:type="dxa"/>
              <w:end w:w="100" w:type="dxa"/>
            </w:tcMar>
          </w:tcPr>
          <w:p>
            <w:pPr>
              <w:jc w:val="right"/>
              <w:bidi w:val="1"/>
            </w:pPr>
            <w:r>
              <w:rPr>
                <w:rFonts w:ascii="Arial" w:hAnsi="Arial" w:cs="Arial"/>
                <w:b/>
                <w:color w:val="183C69"/>
                <w:sz w:val="20"/>
              </w:rPr>
              <w:t>شمعة افتتاح حمراء / هابطة</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تحت أدنى نطاق الافتتاح</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شراء بعد شمعة انعكاسية صاعدة</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أعلى نطاق الافتتاح</w:t>
            </w:r>
          </w:p>
        </w:tc>
      </w:tr>
    </w:tbl>
    <w:p/>
    <w:tbl>
      <w:tblPr>
        <w:tblW w:type="auto" w:w="0"/>
        <w:jc w:val="center"/>
        <w:tblLayout w:type="autofit"/>
        <w:tblLook w:firstColumn="1" w:firstRow="1" w:lastColumn="0" w:lastRow="0" w:noHBand="0" w:noVBand="1" w:val="04A0"/>
      </w:tblPr>
      <w:tblGrid>
        <w:gridCol w:w="10656"/>
      </w:tblGrid>
      <w:tr>
        <w:tc>
          <w:tcPr>
            <w:tcW w:type="dxa" w:w="10656"/>
            <w:shd w:fill="FDF8E8"/>
            <w:tcMar>
              <w:top w:w="140" w:type="dxa"/>
              <w:start w:w="160" w:type="dxa"/>
              <w:bottom w:w="140" w:type="dxa"/>
              <w:end w:w="160" w:type="dxa"/>
            </w:tcMar>
            <w:textDirection w:val="rl"/>
          </w:tcPr>
          <w:p>
            <w:pPr>
              <w:jc w:val="right"/>
              <w:bidi w:val="1"/>
            </w:pPr>
            <w:r>
              <w:rPr>
                <w:rFonts w:ascii="Arial" w:hAnsi="Arial" w:cs="Arial"/>
                <w:b/>
                <w:color w:val="183C69"/>
                <w:sz w:val="25"/>
              </w:rPr>
              <w:t>قاعدة الاتجاه</w:t>
            </w:r>
          </w:p>
          <w:p>
            <w:pPr>
              <w:spacing w:after="60"/>
              <w:jc w:val="right"/>
              <w:bidi w:val="1"/>
            </w:pPr>
            <w:r>
              <w:rPr>
                <w:rFonts w:ascii="Arial" w:hAnsi="Arial" w:cs="Arial"/>
                <w:color w:val="575757"/>
                <w:sz w:val="22"/>
              </w:rPr>
              <w:t>إذا كانت شمعة السيولة صاعدة، لا نشتري خارج الصندوق؛ نبحث عن انعكاس بيع فوق الصندوق.</w:t>
            </w:r>
          </w:p>
          <w:p>
            <w:pPr>
              <w:spacing w:after="60"/>
              <w:jc w:val="right"/>
              <w:bidi w:val="1"/>
            </w:pPr>
            <w:r>
              <w:rPr>
                <w:rFonts w:ascii="Arial" w:hAnsi="Arial" w:cs="Arial"/>
                <w:color w:val="575757"/>
                <w:sz w:val="22"/>
              </w:rPr>
              <w:t>إذا كانت شمعة السيولة هابطة، لا نبيع خارج الصندوق؛ نبحث عن انعكاس شراء تحت الصندوق.</w:t>
            </w:r>
          </w:p>
        </w:tc>
      </w:tr>
    </w:tbl>
    <w:p/>
    <w:p>
      <w:pPr>
        <w:spacing w:after="160" w:line="276" w:lineRule="auto" w:before="240"/>
        <w:jc w:val="right"/>
        <w:bidi w:val="1"/>
      </w:pPr>
      <w:r>
        <w:rPr>
          <w:rFonts w:ascii="Arial" w:hAnsi="Arial" w:cs="Arial"/>
          <w:b/>
          <w:color w:val="183C69"/>
          <w:sz w:val="36"/>
        </w:rPr>
        <w:t>7) الخطوة الثالثة: شمعة الانعكاس خارج الصندوق</w:t>
      </w:r>
    </w:p>
    <w:p>
      <w:pPr>
        <w:spacing w:after="120" w:line="276" w:lineRule="auto"/>
        <w:jc w:val="right"/>
        <w:bidi w:val="1"/>
      </w:pPr>
      <w:r>
        <w:rPr>
          <w:rFonts w:ascii="Arial" w:hAnsi="Arial" w:cs="Arial"/>
          <w:b w:val="0"/>
          <w:color w:val="575757"/>
          <w:sz w:val="23"/>
        </w:rPr>
        <w:t>بعد رسم الصندوق وتأكيد شمعة السيولة، ننزل إلى فريم أصغر. لا نأخذ أي دخول داخل الصندوق. يجب أن تظهر شمعة الانعكاس خارج نطاق الافتتاح.</w:t>
      </w:r>
    </w:p>
    <w:p>
      <w:pPr>
        <w:spacing w:after="80"/>
        <w:ind w:right="280" w:hanging="280"/>
        <w:jc w:val="right"/>
        <w:bidi w:val="1"/>
      </w:pPr>
      <w:r>
        <w:rPr>
          <w:rFonts w:ascii="Arial" w:hAnsi="Arial" w:cs="Arial"/>
          <w:color w:val="575757"/>
          <w:sz w:val="23"/>
        </w:rPr>
        <w:t>• للشراء: نحتاج شمعة Hammer أو Bullish Engulfing تحت الصندوق.</w:t>
      </w:r>
    </w:p>
    <w:p>
      <w:pPr>
        <w:spacing w:after="80"/>
        <w:ind w:right="280" w:hanging="280"/>
        <w:jc w:val="right"/>
        <w:bidi w:val="1"/>
      </w:pPr>
      <w:r>
        <w:rPr>
          <w:rFonts w:ascii="Arial" w:hAnsi="Arial" w:cs="Arial"/>
          <w:color w:val="575757"/>
          <w:sz w:val="23"/>
        </w:rPr>
        <w:t>• للبيع: نحتاج شمعة Inverted Hammer أو Bearish Engulfing فوق الصندوق.</w:t>
      </w:r>
    </w:p>
    <w:p>
      <w:pPr>
        <w:spacing w:after="80"/>
        <w:ind w:right="280" w:hanging="280"/>
        <w:jc w:val="right"/>
        <w:bidi w:val="1"/>
      </w:pPr>
      <w:r>
        <w:rPr>
          <w:rFonts w:ascii="Arial" w:hAnsi="Arial" w:cs="Arial"/>
          <w:color w:val="575757"/>
          <w:sz w:val="23"/>
        </w:rPr>
        <w:t>• إذا لم تظهر شمعة انعكاس خارج الصندوق خلال أول 90 دقيقة، لا توجد صفقة.</w:t>
      </w:r>
    </w:p>
    <w:p>
      <w:pPr>
        <w:spacing w:after="160" w:line="276" w:lineRule="auto" w:before="240"/>
        <w:jc w:val="right"/>
        <w:bidi w:val="1"/>
      </w:pPr>
      <w:r>
        <w:rPr>
          <w:rFonts w:ascii="Arial" w:hAnsi="Arial" w:cs="Arial"/>
          <w:b/>
          <w:color w:val="183C69"/>
          <w:sz w:val="36"/>
        </w:rPr>
        <w:t>8) قواعد الدخول الشرائي</w:t>
      </w:r>
    </w:p>
    <w:p>
      <w:pPr>
        <w:spacing w:after="120" w:line="276" w:lineRule="auto"/>
        <w:jc w:val="right"/>
        <w:bidi w:val="1"/>
      </w:pPr>
      <w:r>
        <w:rPr>
          <w:rFonts w:ascii="Arial" w:hAnsi="Arial" w:cs="Arial"/>
          <w:b w:val="0"/>
          <w:color w:val="575757"/>
          <w:sz w:val="23"/>
        </w:rPr>
        <w:t>الدخول الشرائي يحدث فقط عندما تكون شمعة افتتاح أول 15 دقيقة هابطة/حمراء وصالحة كشمعة سيولة، ثم يكسر السعر أسفل الصندوق وتظهر شمعة انعكاسية صاعدة.</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نموذج الانعكاس</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شروط الدخول</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وقف الخسارة</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الهدف</w:t>
            </w:r>
          </w:p>
        </w:tc>
      </w:tr>
      <w:tr>
        <w:tc>
          <w:tcPr>
            <w:tcW w:type="dxa" w:w="2664"/>
            <w:textDirection w:val="rl"/>
            <w:tcMar>
              <w:top w:w="80" w:type="dxa"/>
              <w:start w:w="100" w:type="dxa"/>
              <w:bottom w:w="80" w:type="dxa"/>
              <w:end w:w="100" w:type="dxa"/>
            </w:tcMar>
          </w:tcPr>
          <w:p>
            <w:pPr>
              <w:jc w:val="right"/>
              <w:bidi w:val="1"/>
            </w:pPr>
            <w:r>
              <w:rPr>
                <w:rFonts w:ascii="Arial" w:hAnsi="Arial" w:cs="Arial"/>
                <w:b/>
                <w:color w:val="183C69"/>
                <w:sz w:val="20"/>
              </w:rPr>
              <w:t>Hammer</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بعد ظهور Hammer أسفل الصندوق، الدخول عند اختراق قمة الشمعة أو مع افتتاح الشمعة التالية بعد تأكيد الاختراق.</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أسفل ذيل/قاع شمعة Hammer.</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أعلى نطاق الافتتاح OpeningRangeHigh.</w:t>
            </w:r>
          </w:p>
        </w:tc>
      </w:tr>
      <w:tr>
        <w:tc>
          <w:tcPr>
            <w:tcW w:type="dxa" w:w="2664"/>
            <w:textDirection w:val="rl"/>
            <w:tcMar>
              <w:top w:w="80" w:type="dxa"/>
              <w:start w:w="100" w:type="dxa"/>
              <w:bottom w:w="80" w:type="dxa"/>
              <w:end w:w="100" w:type="dxa"/>
            </w:tcMar>
          </w:tcPr>
          <w:p>
            <w:pPr>
              <w:jc w:val="right"/>
              <w:bidi w:val="1"/>
            </w:pPr>
            <w:r>
              <w:rPr>
                <w:rFonts w:ascii="Arial" w:hAnsi="Arial" w:cs="Arial"/>
                <w:b/>
                <w:color w:val="183C69"/>
                <w:sz w:val="20"/>
              </w:rPr>
              <w:t>Bullish Engulfing</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الدخول عند قمة الشمعة الحمراء السابقة التي تم ابتلاعها، أو عند تحقق الاختراق الصاعد.</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أسفل قاع شمعة الابتلاع الصاعدة.</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أعلى نطاق الافتتاح OpeningRangeHigh.</w:t>
            </w:r>
          </w:p>
        </w:tc>
      </w:tr>
    </w:tbl>
    <w:p/>
    <w:tbl>
      <w:tblPr>
        <w:tblW w:type="auto" w:w="0"/>
        <w:jc w:val="center"/>
        <w:tblLook w:firstColumn="1" w:firstRow="1" w:lastColumn="0" w:lastRow="0" w:noHBand="0" w:noVBand="1" w:val="04A0"/>
      </w:tblPr>
      <w:tblGrid>
        <w:gridCol w:w="10656"/>
      </w:tblGrid>
      <w:tr>
        <w:tc>
          <w:tcPr>
            <w:tcW w:type="dxa" w:w="10656"/>
            <w:shd w:fill="F4F4F4"/>
            <w:tcMar>
              <w:top w:w="140" w:type="dxa"/>
              <w:start w:w="180" w:type="dxa"/>
              <w:bottom w:w="140" w:type="dxa"/>
              <w:end w:w="180" w:type="dxa"/>
            </w:tcMar>
            <w:textDirection w:val="lr"/>
          </w:tcPr>
          <w:p>
            <w:pPr>
              <w:spacing w:line="240" w:lineRule="auto"/>
              <w:jc w:val="left"/>
            </w:pPr>
            <w:r>
              <w:rPr>
                <w:rFonts w:ascii="Consolas" w:hAnsi="Consolas"/>
                <w:color w:val="414141"/>
                <w:sz w:val="19"/>
              </w:rPr>
              <w:t>IF OpeningCandle is Bearish Liquidity Candle</w:t>
            </w:r>
            <w:r>
              <w:br/>
            </w:r>
            <w:r>
              <w:rPr>
                <w:rFonts w:ascii="Consolas" w:hAnsi="Consolas"/>
                <w:color w:val="414141"/>
                <w:sz w:val="19"/>
              </w:rPr>
              <w:t>AND price trades below OpeningRangeLow</w:t>
            </w:r>
            <w:r>
              <w:br/>
            </w:r>
            <w:r>
              <w:rPr>
                <w:rFonts w:ascii="Consolas" w:hAnsi="Consolas"/>
                <w:color w:val="414141"/>
                <w:sz w:val="19"/>
              </w:rPr>
              <w:t>AND bullish reversal candle appears below the box</w:t>
            </w:r>
            <w:r>
              <w:br/>
            </w:r>
            <w:r>
              <w:rPr>
                <w:rFonts w:ascii="Consolas" w:hAnsi="Consolas"/>
                <w:color w:val="414141"/>
                <w:sz w:val="19"/>
              </w:rPr>
              <w:t>AND signal time &lt;= first 90 minutes from open</w:t>
            </w:r>
            <w:r>
              <w:br/>
            </w:r>
            <w:r>
              <w:rPr>
                <w:rFonts w:ascii="Consolas" w:hAnsi="Consolas"/>
                <w:color w:val="414141"/>
                <w:sz w:val="19"/>
              </w:rPr>
              <w:t>THEN Enter Long</w:t>
            </w:r>
            <w:r>
              <w:br/>
            </w:r>
            <w:r>
              <w:rPr>
                <w:rFonts w:ascii="Consolas" w:hAnsi="Consolas"/>
                <w:color w:val="414141"/>
                <w:sz w:val="19"/>
              </w:rPr>
              <w:t>SL = below reversal candle low</w:t>
            </w:r>
            <w:r>
              <w:br/>
            </w:r>
            <w:r>
              <w:rPr>
                <w:rFonts w:ascii="Consolas" w:hAnsi="Consolas"/>
                <w:color w:val="414141"/>
                <w:sz w:val="19"/>
              </w:rPr>
              <w:t>TP = OpeningRangeHigh</w:t>
            </w:r>
          </w:p>
        </w:tc>
      </w:tr>
    </w:tbl>
    <w:p/>
    <w:p>
      <w:pPr>
        <w:spacing w:after="160" w:line="276" w:lineRule="auto" w:before="240"/>
        <w:jc w:val="right"/>
        <w:bidi w:val="1"/>
      </w:pPr>
      <w:r>
        <w:rPr>
          <w:rFonts w:ascii="Arial" w:hAnsi="Arial" w:cs="Arial"/>
          <w:b/>
          <w:color w:val="183C69"/>
          <w:sz w:val="36"/>
        </w:rPr>
        <w:t>9) قواعد الدخول البيعي</w:t>
      </w:r>
    </w:p>
    <w:p>
      <w:pPr>
        <w:spacing w:after="120" w:line="276" w:lineRule="auto"/>
        <w:jc w:val="right"/>
        <w:bidi w:val="1"/>
      </w:pPr>
      <w:r>
        <w:rPr>
          <w:rFonts w:ascii="Arial" w:hAnsi="Arial" w:cs="Arial"/>
          <w:b w:val="0"/>
          <w:color w:val="575757"/>
          <w:sz w:val="23"/>
        </w:rPr>
        <w:t>الدخول البيعي يحدث فقط عندما تكون شمعة افتتاح أول 15 دقيقة صاعدة/خضراء وصالحة كشمعة سيولة، ثم يكسر السعر أعلى الصندوق وتظهر شمعة انعكاسية هابطة.</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نموذج الانعكاس</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شروط الدخول</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وقف الخسارة</w:t>
            </w:r>
          </w:p>
        </w:tc>
        <w:tc>
          <w:tcPr>
            <w:tcW w:type="dxa" w:w="2664"/>
            <w:shd w:fill="183C69"/>
            <w:textDirection w:val="rl"/>
            <w:tcMar>
              <w:top w:w="80" w:type="dxa"/>
              <w:start w:w="100" w:type="dxa"/>
              <w:bottom w:w="80" w:type="dxa"/>
              <w:end w:w="100" w:type="dxa"/>
            </w:tcMar>
          </w:tcPr>
          <w:p>
            <w:pPr>
              <w:jc w:val="right"/>
              <w:bidi w:val="1"/>
            </w:pPr>
            <w:r>
              <w:rPr>
                <w:rFonts w:ascii="Arial" w:hAnsi="Arial" w:cs="Arial"/>
                <w:b/>
                <w:color w:val="FFFFFF"/>
                <w:sz w:val="21"/>
              </w:rPr>
              <w:t>الهدف</w:t>
            </w:r>
          </w:p>
        </w:tc>
      </w:tr>
      <w:tr>
        <w:tc>
          <w:tcPr>
            <w:tcW w:type="dxa" w:w="2664"/>
            <w:textDirection w:val="rl"/>
            <w:tcMar>
              <w:top w:w="80" w:type="dxa"/>
              <w:start w:w="100" w:type="dxa"/>
              <w:bottom w:w="80" w:type="dxa"/>
              <w:end w:w="100" w:type="dxa"/>
            </w:tcMar>
          </w:tcPr>
          <w:p>
            <w:pPr>
              <w:jc w:val="right"/>
              <w:bidi w:val="1"/>
            </w:pPr>
            <w:r>
              <w:rPr>
                <w:rFonts w:ascii="Arial" w:hAnsi="Arial" w:cs="Arial"/>
                <w:b/>
                <w:color w:val="183C69"/>
                <w:sz w:val="20"/>
              </w:rPr>
              <w:t>Inverted Hammer</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بعد ظهور Inverted Hammer فوق الصندوق، الدخول عند كسر قاع الشمعة أو مع افتتاح الشمعة التالية بعد تأكيد الكسر.</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فوق ذيل/قمة شمعة Inverted Hammer.</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أسفل نطاق الافتتاح OpeningRangeLow.</w:t>
            </w:r>
          </w:p>
        </w:tc>
      </w:tr>
      <w:tr>
        <w:tc>
          <w:tcPr>
            <w:tcW w:type="dxa" w:w="2664"/>
            <w:textDirection w:val="rl"/>
            <w:tcMar>
              <w:top w:w="80" w:type="dxa"/>
              <w:start w:w="100" w:type="dxa"/>
              <w:bottom w:w="80" w:type="dxa"/>
              <w:end w:w="100" w:type="dxa"/>
            </w:tcMar>
          </w:tcPr>
          <w:p>
            <w:pPr>
              <w:jc w:val="right"/>
              <w:bidi w:val="1"/>
            </w:pPr>
            <w:r>
              <w:rPr>
                <w:rFonts w:ascii="Arial" w:hAnsi="Arial" w:cs="Arial"/>
                <w:b/>
                <w:color w:val="183C69"/>
                <w:sz w:val="20"/>
              </w:rPr>
              <w:t>Bearish Engulfing</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الدخول عند قاع الشمعة الخضراء السابقة التي تم ابتلاعها، أو عند تحقق الاختراق الهابط.</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فوق قمة شمعة الابتلاع الهابطة.</w:t>
            </w:r>
          </w:p>
        </w:tc>
        <w:tc>
          <w:tcPr>
            <w:tcW w:type="dxa" w:w="2664"/>
            <w:textDirection w:val="rl"/>
            <w:tcMar>
              <w:top w:w="80" w:type="dxa"/>
              <w:start w:w="100" w:type="dxa"/>
              <w:bottom w:w="80" w:type="dxa"/>
              <w:end w:w="100" w:type="dxa"/>
            </w:tcMar>
          </w:tcPr>
          <w:p>
            <w:pPr>
              <w:jc w:val="right"/>
              <w:bidi w:val="1"/>
            </w:pPr>
            <w:r>
              <w:rPr>
                <w:rFonts w:ascii="Arial" w:hAnsi="Arial" w:cs="Arial"/>
                <w:b w:val="0"/>
                <w:color w:val="575757"/>
                <w:sz w:val="20"/>
              </w:rPr>
              <w:t>أسفل نطاق الافتتاح OpeningRangeLow.</w:t>
            </w:r>
          </w:p>
        </w:tc>
      </w:tr>
    </w:tbl>
    <w:p/>
    <w:tbl>
      <w:tblPr>
        <w:tblW w:type="auto" w:w="0"/>
        <w:jc w:val="center"/>
        <w:tblLook w:firstColumn="1" w:firstRow="1" w:lastColumn="0" w:lastRow="0" w:noHBand="0" w:noVBand="1" w:val="04A0"/>
      </w:tblPr>
      <w:tblGrid>
        <w:gridCol w:w="10656"/>
      </w:tblGrid>
      <w:tr>
        <w:tc>
          <w:tcPr>
            <w:tcW w:type="dxa" w:w="10656"/>
            <w:shd w:fill="F4F4F4"/>
            <w:tcMar>
              <w:top w:w="140" w:type="dxa"/>
              <w:start w:w="180" w:type="dxa"/>
              <w:bottom w:w="140" w:type="dxa"/>
              <w:end w:w="180" w:type="dxa"/>
            </w:tcMar>
            <w:textDirection w:val="lr"/>
          </w:tcPr>
          <w:p>
            <w:pPr>
              <w:spacing w:line="240" w:lineRule="auto"/>
              <w:jc w:val="left"/>
            </w:pPr>
            <w:r>
              <w:rPr>
                <w:rFonts w:ascii="Consolas" w:hAnsi="Consolas"/>
                <w:color w:val="414141"/>
                <w:sz w:val="19"/>
              </w:rPr>
              <w:t>IF OpeningCandle is Bullish Liquidity Candle</w:t>
            </w:r>
            <w:r>
              <w:br/>
            </w:r>
            <w:r>
              <w:rPr>
                <w:rFonts w:ascii="Consolas" w:hAnsi="Consolas"/>
                <w:color w:val="414141"/>
                <w:sz w:val="19"/>
              </w:rPr>
              <w:t>AND price trades above OpeningRangeHigh</w:t>
            </w:r>
            <w:r>
              <w:br/>
            </w:r>
            <w:r>
              <w:rPr>
                <w:rFonts w:ascii="Consolas" w:hAnsi="Consolas"/>
                <w:color w:val="414141"/>
                <w:sz w:val="19"/>
              </w:rPr>
              <w:t>AND bearish reversal candle appears above the box</w:t>
            </w:r>
            <w:r>
              <w:br/>
            </w:r>
            <w:r>
              <w:rPr>
                <w:rFonts w:ascii="Consolas" w:hAnsi="Consolas"/>
                <w:color w:val="414141"/>
                <w:sz w:val="19"/>
              </w:rPr>
              <w:t>AND signal time &lt;= first 90 minutes from open</w:t>
            </w:r>
            <w:r>
              <w:br/>
            </w:r>
            <w:r>
              <w:rPr>
                <w:rFonts w:ascii="Consolas" w:hAnsi="Consolas"/>
                <w:color w:val="414141"/>
                <w:sz w:val="19"/>
              </w:rPr>
              <w:t>THEN Enter Short</w:t>
            </w:r>
            <w:r>
              <w:br/>
            </w:r>
            <w:r>
              <w:rPr>
                <w:rFonts w:ascii="Consolas" w:hAnsi="Consolas"/>
                <w:color w:val="414141"/>
                <w:sz w:val="19"/>
              </w:rPr>
              <w:t>SL = above reversal candle high</w:t>
            </w:r>
            <w:r>
              <w:br/>
            </w:r>
            <w:r>
              <w:rPr>
                <w:rFonts w:ascii="Consolas" w:hAnsi="Consolas"/>
                <w:color w:val="414141"/>
                <w:sz w:val="19"/>
              </w:rPr>
              <w:t>TP = OpeningRangeLow</w:t>
            </w:r>
          </w:p>
        </w:tc>
      </w:tr>
    </w:tbl>
    <w:p/>
    <w:p>
      <w:pPr>
        <w:spacing w:after="160" w:line="276" w:lineRule="auto" w:before="240"/>
        <w:jc w:val="right"/>
        <w:bidi w:val="1"/>
      </w:pPr>
      <w:r>
        <w:rPr>
          <w:rFonts w:ascii="Arial" w:hAnsi="Arial" w:cs="Arial"/>
          <w:b/>
          <w:color w:val="183C69"/>
          <w:sz w:val="36"/>
        </w:rPr>
        <w:t>10) إدارة الصفقة</w:t>
      </w:r>
    </w:p>
    <w:tbl>
      <w:tblPr>
        <w:tblStyle w:val="TableGrid"/>
        <w:tblW w:type="auto" w:w="0"/>
        <w:jc w:val="center"/>
        <w:tblLook w:firstColumn="1" w:firstRow="1" w:lastColumn="0" w:lastRow="0" w:noHBand="0" w:noVBand="1" w:val="04A0"/>
      </w:tblPr>
      <w:tblGrid>
        <w:gridCol w:w="5328"/>
        <w:gridCol w:w="5328"/>
      </w:tblGrid>
      <w:tr>
        <w:tc>
          <w:tcPr>
            <w:tcW w:type="dxa" w:w="5328"/>
            <w:shd w:fill="183C69"/>
            <w:textDirection w:val="rl"/>
            <w:tcMar>
              <w:top w:w="80" w:type="dxa"/>
              <w:start w:w="100" w:type="dxa"/>
              <w:bottom w:w="80" w:type="dxa"/>
              <w:end w:w="100" w:type="dxa"/>
            </w:tcMar>
          </w:tcPr>
          <w:p>
            <w:pPr>
              <w:jc w:val="right"/>
              <w:bidi w:val="1"/>
            </w:pPr>
            <w:r>
              <w:rPr>
                <w:rFonts w:ascii="Arial" w:hAnsi="Arial" w:cs="Arial"/>
                <w:b/>
                <w:color w:val="FFFFFF"/>
                <w:sz w:val="22"/>
              </w:rPr>
              <w:t>البند</w:t>
            </w:r>
          </w:p>
        </w:tc>
        <w:tc>
          <w:tcPr>
            <w:tcW w:type="dxa" w:w="5328"/>
            <w:shd w:fill="183C69"/>
            <w:textDirection w:val="rl"/>
            <w:tcMar>
              <w:top w:w="80" w:type="dxa"/>
              <w:start w:w="100" w:type="dxa"/>
              <w:bottom w:w="80" w:type="dxa"/>
              <w:end w:w="100" w:type="dxa"/>
            </w:tcMar>
          </w:tcPr>
          <w:p>
            <w:pPr>
              <w:jc w:val="right"/>
              <w:bidi w:val="1"/>
            </w:pPr>
            <w:r>
              <w:rPr>
                <w:rFonts w:ascii="Arial" w:hAnsi="Arial" w:cs="Arial"/>
                <w:b/>
                <w:color w:val="FFFFFF"/>
                <w:sz w:val="22"/>
              </w:rPr>
              <w:t>القيمة / القاعدة</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الهدف الأساسي</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الطرف المقابل من صندوق الافتتاح.</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وقف الخسارة</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خارج شمعة الانعكاس: أسفلها للشراء، وأعلاها للبيع.</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نقل الوقف</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إذا عاد السعر داخل نطاق الافتتاح واقترب من الهدف، يمكن نقل الوقف إلى الدخول أو إلى طرف الصندوق لحماية الربح.</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الخروج المبكر</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إذا أصبحت الصفقة قريبة جدًا من الهدف وتباطأت الحركة، يمكن إغلاقها جزئيًا أو كليًا حسب خطة إدارة رأس المال.</w:t>
            </w:r>
          </w:p>
        </w:tc>
      </w:tr>
      <w:tr>
        <w:tc>
          <w:tcPr>
            <w:tcW w:type="dxa" w:w="5328"/>
            <w:textDirection w:val="rl"/>
            <w:tcMar>
              <w:top w:w="80" w:type="dxa"/>
              <w:start w:w="100" w:type="dxa"/>
              <w:bottom w:w="80" w:type="dxa"/>
              <w:end w:w="100" w:type="dxa"/>
            </w:tcMar>
            <w:vAlign w:val="center"/>
          </w:tcPr>
          <w:p>
            <w:pPr>
              <w:jc w:val="right"/>
              <w:bidi w:val="1"/>
            </w:pPr>
            <w:r>
              <w:rPr>
                <w:rFonts w:ascii="Arial" w:hAnsi="Arial" w:cs="Arial"/>
                <w:b/>
                <w:color w:val="183C69"/>
                <w:sz w:val="21"/>
              </w:rPr>
              <w:t>عدم تكرار الدخول</w:t>
            </w:r>
          </w:p>
        </w:tc>
        <w:tc>
          <w:tcPr>
            <w:tcW w:type="dxa" w:w="5328"/>
            <w:textDirection w:val="rl"/>
            <w:tcMar>
              <w:top w:w="80" w:type="dxa"/>
              <w:start w:w="100" w:type="dxa"/>
              <w:bottom w:w="80" w:type="dxa"/>
              <w:end w:w="100" w:type="dxa"/>
            </w:tcMar>
            <w:vAlign w:val="center"/>
          </w:tcPr>
          <w:p>
            <w:pPr>
              <w:jc w:val="right"/>
              <w:bidi w:val="1"/>
            </w:pPr>
            <w:r>
              <w:rPr>
                <w:rFonts w:ascii="Arial" w:hAnsi="Arial" w:cs="Arial"/>
                <w:b w:val="0"/>
                <w:color w:val="575757"/>
                <w:sz w:val="21"/>
              </w:rPr>
              <w:t>إذا لم تظهر شمعة انعكاس صالحة خلال أول 90 دقيقة، لا يتم الدخول.</w:t>
            </w:r>
          </w:p>
        </w:tc>
      </w:tr>
    </w:tbl>
    <w:p/>
    <w:p>
      <w:pPr>
        <w:spacing w:after="160" w:line="276" w:lineRule="auto" w:before="240"/>
        <w:jc w:val="right"/>
        <w:bidi w:val="1"/>
      </w:pPr>
      <w:r>
        <w:rPr>
          <w:rFonts w:ascii="Arial" w:hAnsi="Arial" w:cs="Arial"/>
          <w:b/>
          <w:color w:val="183C69"/>
          <w:sz w:val="36"/>
        </w:rPr>
        <w:t>11) شروط إلغاء الصفقة</w:t>
      </w:r>
    </w:p>
    <w:p>
      <w:pPr>
        <w:spacing w:after="80"/>
        <w:ind w:right="280" w:hanging="280"/>
        <w:jc w:val="right"/>
        <w:bidi w:val="1"/>
      </w:pPr>
      <w:r>
        <w:rPr>
          <w:rFonts w:ascii="Arial" w:hAnsi="Arial" w:cs="Arial"/>
          <w:color w:val="575757"/>
          <w:sz w:val="23"/>
        </w:rPr>
        <w:t>• شمعة الافتتاح ليست بحجم 25% أو أكثر من ATR اليومي.</w:t>
      </w:r>
    </w:p>
    <w:p>
      <w:pPr>
        <w:spacing w:after="80"/>
        <w:ind w:right="280" w:hanging="280"/>
        <w:jc w:val="right"/>
        <w:bidi w:val="1"/>
      </w:pPr>
      <w:r>
        <w:rPr>
          <w:rFonts w:ascii="Arial" w:hAnsi="Arial" w:cs="Arial"/>
          <w:color w:val="575757"/>
          <w:sz w:val="23"/>
        </w:rPr>
        <w:t>• الانعكاس ظهر داخل الصندوق وليس خارجه.</w:t>
      </w:r>
    </w:p>
    <w:p>
      <w:pPr>
        <w:spacing w:after="80"/>
        <w:ind w:right="280" w:hanging="280"/>
        <w:jc w:val="right"/>
        <w:bidi w:val="1"/>
      </w:pPr>
      <w:r>
        <w:rPr>
          <w:rFonts w:ascii="Arial" w:hAnsi="Arial" w:cs="Arial"/>
          <w:color w:val="575757"/>
          <w:sz w:val="23"/>
        </w:rPr>
        <w:t>• الإشارة ظهرت بعد أول 90 دقيقة من افتتاح السوق.</w:t>
      </w:r>
    </w:p>
    <w:p>
      <w:pPr>
        <w:spacing w:after="80"/>
        <w:ind w:right="280" w:hanging="280"/>
        <w:jc w:val="right"/>
        <w:bidi w:val="1"/>
      </w:pPr>
      <w:r>
        <w:rPr>
          <w:rFonts w:ascii="Arial" w:hAnsi="Arial" w:cs="Arial"/>
          <w:color w:val="575757"/>
          <w:sz w:val="23"/>
        </w:rPr>
        <w:t>• الشمعة الانعكاسية غير واضحة أو لا تأتي بعد حركة قوية خارج النطاق.</w:t>
      </w:r>
    </w:p>
    <w:p>
      <w:pPr>
        <w:spacing w:after="80"/>
        <w:ind w:right="280" w:hanging="280"/>
        <w:jc w:val="right"/>
        <w:bidi w:val="1"/>
      </w:pPr>
      <w:r>
        <w:rPr>
          <w:rFonts w:ascii="Arial" w:hAnsi="Arial" w:cs="Arial"/>
          <w:color w:val="575757"/>
          <w:sz w:val="23"/>
        </w:rPr>
        <w:t>• الدخول في نفس اتجاه شمعة السيولة بدل الدخول عكسها.</w:t>
      </w:r>
    </w:p>
    <w:p>
      <w:pPr>
        <w:spacing w:after="80"/>
        <w:ind w:right="280" w:hanging="280"/>
        <w:jc w:val="right"/>
        <w:bidi w:val="1"/>
      </w:pPr>
      <w:r>
        <w:rPr>
          <w:rFonts w:ascii="Arial" w:hAnsi="Arial" w:cs="Arial"/>
          <w:color w:val="575757"/>
          <w:sz w:val="23"/>
        </w:rPr>
        <w:t>• الهدف مقابل الوقف غير مجدٍ أو المسافة إلى الطرف المقابل صغيرة جدًا.</w:t>
      </w:r>
    </w:p>
    <w:p>
      <w:pPr>
        <w:spacing w:after="160" w:line="276" w:lineRule="auto" w:before="240"/>
        <w:jc w:val="right"/>
        <w:bidi w:val="1"/>
      </w:pPr>
      <w:r>
        <w:rPr>
          <w:rFonts w:ascii="Arial" w:hAnsi="Arial" w:cs="Arial"/>
          <w:b/>
          <w:color w:val="183C69"/>
          <w:sz w:val="36"/>
        </w:rPr>
        <w:t>12) الفرق بينها وبين استراتيجية لمس نطاق الافتتاح والارتداد</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83C69"/>
            <w:textDirection w:val="rl"/>
            <w:tcMar>
              <w:top w:w="80" w:type="dxa"/>
              <w:start w:w="100" w:type="dxa"/>
              <w:bottom w:w="80" w:type="dxa"/>
              <w:end w:w="100" w:type="dxa"/>
            </w:tcMar>
          </w:tcPr>
          <w:p>
            <w:pPr>
              <w:jc w:val="right"/>
              <w:bidi w:val="1"/>
            </w:pPr>
            <w:r>
              <w:rPr>
                <w:rFonts w:ascii="Arial" w:hAnsi="Arial" w:cs="Arial"/>
                <w:b/>
                <w:color w:val="FFFFFF"/>
                <w:sz w:val="21"/>
              </w:rPr>
              <w:t>البند</w:t>
            </w:r>
          </w:p>
        </w:tc>
        <w:tc>
          <w:tcPr>
            <w:tcW w:type="dxa" w:w="3552"/>
            <w:shd w:fill="183C69"/>
            <w:textDirection w:val="rl"/>
            <w:tcMar>
              <w:top w:w="80" w:type="dxa"/>
              <w:start w:w="100" w:type="dxa"/>
              <w:bottom w:w="80" w:type="dxa"/>
              <w:end w:w="100" w:type="dxa"/>
            </w:tcMar>
          </w:tcPr>
          <w:p>
            <w:pPr>
              <w:jc w:val="right"/>
              <w:bidi w:val="1"/>
            </w:pPr>
            <w:r>
              <w:rPr>
                <w:rFonts w:ascii="Arial" w:hAnsi="Arial" w:cs="Arial"/>
                <w:b/>
                <w:color w:val="FFFFFF"/>
                <w:sz w:val="21"/>
              </w:rPr>
              <w:t>لمس نطاق الافتتاح والارتداد</w:t>
            </w:r>
          </w:p>
        </w:tc>
        <w:tc>
          <w:tcPr>
            <w:tcW w:type="dxa" w:w="3552"/>
            <w:shd w:fill="183C69"/>
            <w:textDirection w:val="rl"/>
            <w:tcMar>
              <w:top w:w="80" w:type="dxa"/>
              <w:start w:w="100" w:type="dxa"/>
              <w:bottom w:w="80" w:type="dxa"/>
              <w:end w:w="100" w:type="dxa"/>
            </w:tcMar>
          </w:tcPr>
          <w:p>
            <w:pPr>
              <w:jc w:val="right"/>
              <w:bidi w:val="1"/>
            </w:pPr>
            <w:r>
              <w:rPr>
                <w:rFonts w:ascii="Arial" w:hAnsi="Arial" w:cs="Arial"/>
                <w:b/>
                <w:color w:val="FFFFFF"/>
                <w:sz w:val="21"/>
              </w:rPr>
              <w:t>الانعكاس السريع بعد شمعة السيولة</w:t>
            </w:r>
          </w:p>
        </w:tc>
      </w:tr>
      <w:tr>
        <w:tc>
          <w:tcPr>
            <w:tcW w:type="dxa" w:w="3552"/>
            <w:textDirection w:val="rl"/>
            <w:tcMar>
              <w:top w:w="80" w:type="dxa"/>
              <w:start w:w="100" w:type="dxa"/>
              <w:bottom w:w="80" w:type="dxa"/>
              <w:end w:w="100" w:type="dxa"/>
            </w:tcMar>
          </w:tcPr>
          <w:p>
            <w:pPr>
              <w:jc w:val="right"/>
              <w:bidi w:val="1"/>
            </w:pPr>
            <w:r>
              <w:rPr>
                <w:rFonts w:ascii="Arial" w:hAnsi="Arial" w:cs="Arial"/>
                <w:b/>
                <w:color w:val="183C69"/>
                <w:sz w:val="20"/>
              </w:rPr>
              <w:t>طريقة الدخول</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Limit Order عند طرف نطاق الافتتاح بعد لمس السعر.</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انتظار شمعة انعكاسية خارج نطاق الافتتاح.</w:t>
            </w:r>
          </w:p>
        </w:tc>
      </w:tr>
      <w:tr>
        <w:tc>
          <w:tcPr>
            <w:tcW w:type="dxa" w:w="3552"/>
            <w:textDirection w:val="rl"/>
            <w:tcMar>
              <w:top w:w="80" w:type="dxa"/>
              <w:start w:w="100" w:type="dxa"/>
              <w:bottom w:w="80" w:type="dxa"/>
              <w:end w:w="100" w:type="dxa"/>
            </w:tcMar>
          </w:tcPr>
          <w:p>
            <w:pPr>
              <w:jc w:val="right"/>
              <w:bidi w:val="1"/>
            </w:pPr>
            <w:r>
              <w:rPr>
                <w:rFonts w:ascii="Arial" w:hAnsi="Arial" w:cs="Arial"/>
                <w:b/>
                <w:color w:val="183C69"/>
                <w:sz w:val="20"/>
              </w:rPr>
              <w:t>أداة الهدف</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فيبوناتشي 38.2 أو 61.8 حسب اتجاه الشمعة.</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الطرف المقابل من صندوق الافتتاح.</w:t>
            </w:r>
          </w:p>
        </w:tc>
      </w:tr>
      <w:tr>
        <w:tc>
          <w:tcPr>
            <w:tcW w:type="dxa" w:w="3552"/>
            <w:textDirection w:val="rl"/>
            <w:tcMar>
              <w:top w:w="80" w:type="dxa"/>
              <w:start w:w="100" w:type="dxa"/>
              <w:bottom w:w="80" w:type="dxa"/>
              <w:end w:w="100" w:type="dxa"/>
            </w:tcMar>
          </w:tcPr>
          <w:p>
            <w:pPr>
              <w:jc w:val="right"/>
              <w:bidi w:val="1"/>
            </w:pPr>
            <w:r>
              <w:rPr>
                <w:rFonts w:ascii="Arial" w:hAnsi="Arial" w:cs="Arial"/>
                <w:b/>
                <w:color w:val="183C69"/>
                <w:sz w:val="20"/>
              </w:rPr>
              <w:t>الفريم المفضل للدخول</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M1 غالبًا.</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M5 مفضل، ويمكن أقل من ذلك.</w:t>
            </w:r>
          </w:p>
        </w:tc>
      </w:tr>
      <w:tr>
        <w:tc>
          <w:tcPr>
            <w:tcW w:type="dxa" w:w="3552"/>
            <w:textDirection w:val="rl"/>
            <w:tcMar>
              <w:top w:w="80" w:type="dxa"/>
              <w:start w:w="100" w:type="dxa"/>
              <w:bottom w:w="80" w:type="dxa"/>
              <w:end w:w="100" w:type="dxa"/>
            </w:tcMar>
          </w:tcPr>
          <w:p>
            <w:pPr>
              <w:jc w:val="right"/>
              <w:bidi w:val="1"/>
            </w:pPr>
            <w:r>
              <w:rPr>
                <w:rFonts w:ascii="Arial" w:hAnsi="Arial" w:cs="Arial"/>
                <w:b/>
                <w:color w:val="183C69"/>
                <w:sz w:val="20"/>
              </w:rPr>
              <w:t>نوع التأكيد</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لمس ثم ارتداد من طرف النطاق.</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Hammer / Inverted Hammer أو Engulfing خارج النطاق.</w:t>
            </w:r>
          </w:p>
        </w:tc>
      </w:tr>
      <w:tr>
        <w:tc>
          <w:tcPr>
            <w:tcW w:type="dxa" w:w="3552"/>
            <w:textDirection w:val="rl"/>
            <w:tcMar>
              <w:top w:w="80" w:type="dxa"/>
              <w:start w:w="100" w:type="dxa"/>
              <w:bottom w:w="80" w:type="dxa"/>
              <w:end w:w="100" w:type="dxa"/>
            </w:tcMar>
          </w:tcPr>
          <w:p>
            <w:pPr>
              <w:jc w:val="right"/>
              <w:bidi w:val="1"/>
            </w:pPr>
            <w:r>
              <w:rPr>
                <w:rFonts w:ascii="Arial" w:hAnsi="Arial" w:cs="Arial"/>
                <w:b/>
                <w:color w:val="183C69"/>
                <w:sz w:val="20"/>
              </w:rPr>
              <w:t>الطابع</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أكثر ميكانيكية بأوامر Limit.</w:t>
            </w:r>
          </w:p>
        </w:tc>
        <w:tc>
          <w:tcPr>
            <w:tcW w:type="dxa" w:w="3552"/>
            <w:textDirection w:val="rl"/>
            <w:tcMar>
              <w:top w:w="80" w:type="dxa"/>
              <w:start w:w="100" w:type="dxa"/>
              <w:bottom w:w="80" w:type="dxa"/>
              <w:end w:w="100" w:type="dxa"/>
            </w:tcMar>
          </w:tcPr>
          <w:p>
            <w:pPr>
              <w:jc w:val="right"/>
              <w:bidi w:val="1"/>
            </w:pPr>
            <w:r>
              <w:rPr>
                <w:rFonts w:ascii="Arial" w:hAnsi="Arial" w:cs="Arial"/>
                <w:b w:val="0"/>
                <w:color w:val="575757"/>
                <w:sz w:val="20"/>
              </w:rPr>
              <w:t>أكثر اعتمادًا على شمعة تأكيد انعكاسية.</w:t>
            </w:r>
          </w:p>
        </w:tc>
      </w:tr>
    </w:tbl>
    <w:p/>
    <w:p>
      <w:pPr>
        <w:spacing w:after="160" w:line="276" w:lineRule="auto" w:before="240"/>
        <w:jc w:val="right"/>
        <w:bidi w:val="1"/>
      </w:pPr>
      <w:r>
        <w:rPr>
          <w:rFonts w:ascii="Arial" w:hAnsi="Arial" w:cs="Arial"/>
          <w:b/>
          <w:color w:val="183C69"/>
          <w:sz w:val="36"/>
        </w:rPr>
        <w:t>13) مثال تطبيقي مختصر</w:t>
      </w:r>
    </w:p>
    <w:p>
      <w:pPr>
        <w:spacing w:after="120" w:line="276" w:lineRule="auto"/>
        <w:jc w:val="right"/>
        <w:bidi w:val="1"/>
      </w:pPr>
      <w:r>
        <w:rPr>
          <w:rFonts w:ascii="Arial" w:hAnsi="Arial" w:cs="Arial"/>
          <w:b w:val="0"/>
          <w:color w:val="575757"/>
          <w:sz w:val="23"/>
        </w:rPr>
        <w:t>مثال شراء: شمعة افتتاح 15 دقيقة حمراء، وحجمها أكبر من 25% من ATR. نرسم صندوق الافتتاح. بعد ذلك يهبط السعر أسفل الصندوق، ثم تظهر شمعة Bullish Engulfing على فريم 5 دقائق. يتم الدخول شراء عند اختراق قمة الشمعة الحمراء السابقة، وقف الخسارة أسفل قاع شمعة الابتلاع، والهدف أعلى صندوق الافتتاح.</w:t>
      </w:r>
    </w:p>
    <w:p>
      <w:pPr>
        <w:spacing w:after="120" w:line="276" w:lineRule="auto"/>
        <w:jc w:val="right"/>
        <w:bidi w:val="1"/>
      </w:pPr>
      <w:r>
        <w:rPr>
          <w:rFonts w:ascii="Arial" w:hAnsi="Arial" w:cs="Arial"/>
          <w:b w:val="0"/>
          <w:color w:val="575757"/>
          <w:sz w:val="23"/>
        </w:rPr>
        <w:t>مثال بيع: شمعة افتتاح 15 دقيقة خضراء، وحجمها أكبر من 25% من ATR. يخترق السعر أعلى الصندوق، ثم تظهر شمعة Inverted Hammer أو Bearish Engulfing فوق الصندوق. يتم الدخول بيع بعد كسر قاع شمعة الانعكاس، وقف الخسارة فوق القمة، والهدف أسفل صندوق الافتتاح.</w:t>
      </w:r>
    </w:p>
    <w:p>
      <w:pPr>
        <w:spacing w:after="160" w:line="276" w:lineRule="auto" w:before="240"/>
        <w:jc w:val="right"/>
        <w:bidi w:val="1"/>
      </w:pPr>
      <w:r>
        <w:rPr>
          <w:rFonts w:ascii="Arial" w:hAnsi="Arial" w:cs="Arial"/>
          <w:b/>
          <w:color w:val="183C69"/>
          <w:sz w:val="36"/>
        </w:rPr>
        <w:t>14) قائمة التحقق قبل الدخول</w:t>
      </w:r>
    </w:p>
    <w:tbl>
      <w:tblPr>
        <w:tblStyle w:val="TableGrid"/>
        <w:tblW w:type="auto" w:w="0"/>
        <w:jc w:val="center"/>
        <w:tblLook w:firstColumn="1" w:firstRow="1" w:lastColumn="0" w:lastRow="0" w:noHBand="0" w:noVBand="1" w:val="04A0"/>
      </w:tblPr>
      <w:tblGrid>
        <w:gridCol w:w="5328"/>
        <w:gridCol w:w="5328"/>
      </w:tblGrid>
      <w:tr>
        <w:tc>
          <w:tcPr>
            <w:tcW w:type="dxa" w:w="5328"/>
            <w:shd w:fill="183C69"/>
            <w:textDirection w:val="rl"/>
            <w:tcMar>
              <w:top w:w="80" w:type="dxa"/>
              <w:start w:w="100" w:type="dxa"/>
              <w:bottom w:w="80" w:type="dxa"/>
              <w:end w:w="100" w:type="dxa"/>
            </w:tcMar>
          </w:tcPr>
          <w:p>
            <w:pPr>
              <w:jc w:val="right"/>
              <w:bidi w:val="1"/>
            </w:pPr>
            <w:r>
              <w:rPr>
                <w:rFonts w:ascii="Arial" w:hAnsi="Arial" w:cs="Arial"/>
                <w:b/>
                <w:color w:val="FFFFFF"/>
                <w:sz w:val="21"/>
              </w:rPr>
              <w:t>السؤال</w:t>
            </w:r>
          </w:p>
        </w:tc>
        <w:tc>
          <w:tcPr>
            <w:tcW w:type="dxa" w:w="5328"/>
            <w:shd w:fill="183C69"/>
            <w:textDirection w:val="rl"/>
            <w:tcMar>
              <w:top w:w="80" w:type="dxa"/>
              <w:start w:w="100" w:type="dxa"/>
              <w:bottom w:w="80" w:type="dxa"/>
              <w:end w:w="100" w:type="dxa"/>
            </w:tcMar>
          </w:tcPr>
          <w:p>
            <w:pPr>
              <w:jc w:val="right"/>
              <w:bidi w:val="1"/>
            </w:pPr>
            <w:r>
              <w:rPr>
                <w:rFonts w:ascii="Arial" w:hAnsi="Arial" w:cs="Arial"/>
                <w:b/>
                <w:color w:val="FFFFFF"/>
                <w:sz w:val="21"/>
              </w:rPr>
              <w:t>الإجابة المطلوبة</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أغلقت أول شمعة 15 دقيقة؟</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تم رسم الصندوق من أعلى إلى أدنى الشمعة؟</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حجم الشمعة &gt;= 25% من ATR اليومي؟</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نحن داخل أول 90 دقيقة من الافتتاح؟</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السعر خرج خارج الصندوق؟</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ظهرت شمعة انعكاسية صالحة خارج الصندوق؟</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الصفقة عكس اتجاه شمعة السيولة؟</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الهدف هو الطرف المقابل من الصندوق؟</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r>
        <w:tc>
          <w:tcPr>
            <w:tcW w:type="dxa" w:w="5328"/>
            <w:textDirection w:val="rl"/>
            <w:tcMar>
              <w:top w:w="80" w:type="dxa"/>
              <w:start w:w="100" w:type="dxa"/>
              <w:bottom w:w="80" w:type="dxa"/>
              <w:end w:w="100" w:type="dxa"/>
            </w:tcMar>
          </w:tcPr>
          <w:p>
            <w:pPr>
              <w:jc w:val="right"/>
              <w:bidi w:val="1"/>
            </w:pPr>
            <w:r>
              <w:rPr>
                <w:rFonts w:ascii="Arial" w:hAnsi="Arial" w:cs="Arial"/>
                <w:b/>
                <w:color w:val="183C69"/>
                <w:sz w:val="20"/>
              </w:rPr>
              <w:t>هل الوقف خلف شمعة الانعكاس؟</w:t>
            </w:r>
          </w:p>
        </w:tc>
        <w:tc>
          <w:tcPr>
            <w:tcW w:type="dxa" w:w="5328"/>
            <w:textDirection w:val="rl"/>
            <w:tcMar>
              <w:top w:w="80" w:type="dxa"/>
              <w:start w:w="100" w:type="dxa"/>
              <w:bottom w:w="80" w:type="dxa"/>
              <w:end w:w="100" w:type="dxa"/>
            </w:tcMar>
          </w:tcPr>
          <w:p>
            <w:pPr>
              <w:jc w:val="right"/>
              <w:bidi w:val="1"/>
            </w:pPr>
            <w:r>
              <w:rPr>
                <w:rFonts w:ascii="Arial" w:hAnsi="Arial" w:cs="Arial"/>
                <w:b w:val="0"/>
                <w:color w:val="575757"/>
                <w:sz w:val="20"/>
              </w:rPr>
              <w:t>نعم</w:t>
            </w:r>
          </w:p>
        </w:tc>
      </w:tr>
    </w:tbl>
    <w:p/>
    <w:p>
      <w:pPr>
        <w:spacing w:after="160" w:line="276" w:lineRule="auto" w:before="240"/>
        <w:jc w:val="right"/>
        <w:bidi w:val="1"/>
      </w:pPr>
      <w:r>
        <w:rPr>
          <w:rFonts w:ascii="Arial" w:hAnsi="Arial" w:cs="Arial"/>
          <w:b/>
          <w:color w:val="183C69"/>
          <w:sz w:val="36"/>
        </w:rPr>
        <w:t>15) مواصفات برمجية مختصرة</w:t>
      </w:r>
    </w:p>
    <w:tbl>
      <w:tblPr>
        <w:tblW w:type="auto" w:w="0"/>
        <w:jc w:val="center"/>
        <w:tblLook w:firstColumn="1" w:firstRow="1" w:lastColumn="0" w:lastRow="0" w:noHBand="0" w:noVBand="1" w:val="04A0"/>
      </w:tblPr>
      <w:tblGrid>
        <w:gridCol w:w="10656"/>
      </w:tblGrid>
      <w:tr>
        <w:tc>
          <w:tcPr>
            <w:tcW w:type="dxa" w:w="10656"/>
            <w:shd w:fill="F4F4F4"/>
            <w:tcMar>
              <w:top w:w="140" w:type="dxa"/>
              <w:start w:w="180" w:type="dxa"/>
              <w:bottom w:w="140" w:type="dxa"/>
              <w:end w:w="180" w:type="dxa"/>
            </w:tcMar>
            <w:textDirection w:val="lr"/>
          </w:tcPr>
          <w:p>
            <w:pPr>
              <w:spacing w:line="240" w:lineRule="auto"/>
              <w:jc w:val="left"/>
            </w:pPr>
            <w:r>
              <w:rPr>
                <w:rFonts w:ascii="Consolas" w:hAnsi="Consolas"/>
                <w:color w:val="414141"/>
                <w:sz w:val="19"/>
              </w:rPr>
              <w:t>Inputs:</w:t>
            </w:r>
            <w:r>
              <w:br/>
            </w:r>
            <w:r>
              <w:rPr>
                <w:rFonts w:ascii="Consolas" w:hAnsi="Consolas"/>
                <w:color w:val="414141"/>
                <w:sz w:val="19"/>
              </w:rPr>
              <w:t xml:space="preserve">  OpeningTime</w:t>
            </w:r>
            <w:r>
              <w:br/>
            </w:r>
            <w:r>
              <w:rPr>
                <w:rFonts w:ascii="Consolas" w:hAnsi="Consolas"/>
                <w:color w:val="414141"/>
                <w:sz w:val="19"/>
              </w:rPr>
              <w:t xml:space="preserve">  OpeningRangeMinutes = 15</w:t>
            </w:r>
            <w:r>
              <w:br/>
            </w:r>
            <w:r>
              <w:rPr>
                <w:rFonts w:ascii="Consolas" w:hAnsi="Consolas"/>
                <w:color w:val="414141"/>
                <w:sz w:val="19"/>
              </w:rPr>
              <w:t xml:space="preserve">  TradeWindowMinutes = 90</w:t>
            </w:r>
            <w:r>
              <w:br/>
            </w:r>
            <w:r>
              <w:rPr>
                <w:rFonts w:ascii="Consolas" w:hAnsi="Consolas"/>
                <w:color w:val="414141"/>
                <w:sz w:val="19"/>
              </w:rPr>
              <w:t xml:space="preserve">  AtrPeriod = 14</w:t>
            </w:r>
            <w:r>
              <w:br/>
            </w:r>
            <w:r>
              <w:rPr>
                <w:rFonts w:ascii="Consolas" w:hAnsi="Consolas"/>
                <w:color w:val="414141"/>
                <w:sz w:val="19"/>
              </w:rPr>
              <w:t xml:space="preserve">  AtrThresholdPct = 0.25</w:t>
            </w:r>
            <w:r>
              <w:br/>
            </w:r>
            <w:r>
              <w:rPr>
                <w:rFonts w:ascii="Consolas" w:hAnsi="Consolas"/>
                <w:color w:val="414141"/>
                <w:sz w:val="19"/>
              </w:rPr>
              <w:t xml:space="preserve">  EntryTimeframe = M5</w:t>
            </w:r>
            <w:r>
              <w:br/>
            </w:r>
            <w:r>
              <w:rPr>
                <w:rFonts w:ascii="Consolas" w:hAnsi="Consolas"/>
                <w:color w:val="414141"/>
                <w:sz w:val="19"/>
              </w:rPr>
            </w:r>
            <w:r>
              <w:br/>
            </w:r>
            <w:r>
              <w:rPr>
                <w:rFonts w:ascii="Consolas" w:hAnsi="Consolas"/>
                <w:color w:val="414141"/>
                <w:sz w:val="19"/>
              </w:rPr>
              <w:t>Detect:</w:t>
            </w:r>
            <w:r>
              <w:br/>
            </w:r>
            <w:r>
              <w:rPr>
                <w:rFonts w:ascii="Consolas" w:hAnsi="Consolas"/>
                <w:color w:val="414141"/>
                <w:sz w:val="19"/>
              </w:rPr>
              <w:t xml:space="preserve">  OpeningRangeHigh, OpeningRangeLow, OpeningRangeSize</w:t>
            </w:r>
            <w:r>
              <w:br/>
            </w:r>
            <w:r>
              <w:rPr>
                <w:rFonts w:ascii="Consolas" w:hAnsi="Consolas"/>
                <w:color w:val="414141"/>
                <w:sz w:val="19"/>
              </w:rPr>
              <w:t xml:space="preserve">  DailyATR = ATR(14) on D1</w:t>
            </w:r>
            <w:r>
              <w:br/>
            </w:r>
            <w:r>
              <w:rPr>
                <w:rFonts w:ascii="Consolas" w:hAnsi="Consolas"/>
                <w:color w:val="414141"/>
                <w:sz w:val="19"/>
              </w:rPr>
              <w:t xml:space="preserve">  ValidLiquidityCandle = OpeningRangeSize &gt;= DailyATR * 0.25</w:t>
            </w:r>
            <w:r>
              <w:br/>
            </w:r>
            <w:r>
              <w:rPr>
                <w:rFonts w:ascii="Consolas" w:hAnsi="Consolas"/>
                <w:color w:val="414141"/>
                <w:sz w:val="19"/>
              </w:rPr>
            </w:r>
            <w:r>
              <w:br/>
            </w:r>
            <w:r>
              <w:rPr>
                <w:rFonts w:ascii="Consolas" w:hAnsi="Consolas"/>
                <w:color w:val="414141"/>
                <w:sz w:val="19"/>
              </w:rPr>
              <w:t>Long Engine:</w:t>
            </w:r>
            <w:r>
              <w:br/>
            </w:r>
            <w:r>
              <w:rPr>
                <w:rFonts w:ascii="Consolas" w:hAnsi="Consolas"/>
                <w:color w:val="414141"/>
                <w:sz w:val="19"/>
              </w:rPr>
              <w:t xml:space="preserve">  IF ValidLiquidityCandle AND OpeningCandleBearish</w:t>
            </w:r>
            <w:r>
              <w:br/>
            </w:r>
            <w:r>
              <w:rPr>
                <w:rFonts w:ascii="Consolas" w:hAnsi="Consolas"/>
                <w:color w:val="414141"/>
                <w:sz w:val="19"/>
              </w:rPr>
              <w:t xml:space="preserve">  AND price is below OpeningRangeLow</w:t>
            </w:r>
            <w:r>
              <w:br/>
            </w:r>
            <w:r>
              <w:rPr>
                <w:rFonts w:ascii="Consolas" w:hAnsi="Consolas"/>
                <w:color w:val="414141"/>
                <w:sz w:val="19"/>
              </w:rPr>
              <w:t xml:space="preserve">  AND Hammer OR BullishEngulfing appears</w:t>
            </w:r>
            <w:r>
              <w:br/>
            </w:r>
            <w:r>
              <w:rPr>
                <w:rFonts w:ascii="Consolas" w:hAnsi="Consolas"/>
                <w:color w:val="414141"/>
                <w:sz w:val="19"/>
              </w:rPr>
              <w:t xml:space="preserve">  THEN Long with SL below signal low, TP = OpeningRangeHigh</w:t>
            </w:r>
            <w:r>
              <w:br/>
            </w:r>
            <w:r>
              <w:rPr>
                <w:rFonts w:ascii="Consolas" w:hAnsi="Consolas"/>
                <w:color w:val="414141"/>
                <w:sz w:val="19"/>
              </w:rPr>
            </w:r>
            <w:r>
              <w:br/>
            </w:r>
            <w:r>
              <w:rPr>
                <w:rFonts w:ascii="Consolas" w:hAnsi="Consolas"/>
                <w:color w:val="414141"/>
                <w:sz w:val="19"/>
              </w:rPr>
              <w:t>Short Engine:</w:t>
            </w:r>
            <w:r>
              <w:br/>
            </w:r>
            <w:r>
              <w:rPr>
                <w:rFonts w:ascii="Consolas" w:hAnsi="Consolas"/>
                <w:color w:val="414141"/>
                <w:sz w:val="19"/>
              </w:rPr>
              <w:t xml:space="preserve">  IF ValidLiquidityCandle AND OpeningCandleBullish</w:t>
            </w:r>
            <w:r>
              <w:br/>
            </w:r>
            <w:r>
              <w:rPr>
                <w:rFonts w:ascii="Consolas" w:hAnsi="Consolas"/>
                <w:color w:val="414141"/>
                <w:sz w:val="19"/>
              </w:rPr>
              <w:t xml:space="preserve">  AND price is above OpeningRangeHigh</w:t>
            </w:r>
            <w:r>
              <w:br/>
            </w:r>
            <w:r>
              <w:rPr>
                <w:rFonts w:ascii="Consolas" w:hAnsi="Consolas"/>
                <w:color w:val="414141"/>
                <w:sz w:val="19"/>
              </w:rPr>
              <w:t xml:space="preserve">  AND InvertedHammer OR BearishEngulfing appears</w:t>
            </w:r>
            <w:r>
              <w:br/>
            </w:r>
            <w:r>
              <w:rPr>
                <w:rFonts w:ascii="Consolas" w:hAnsi="Consolas"/>
                <w:color w:val="414141"/>
                <w:sz w:val="19"/>
              </w:rPr>
              <w:t xml:space="preserve">  THEN Short with SL above signal high, TP = OpeningRangeLow</w:t>
            </w:r>
          </w:p>
        </w:tc>
      </w:tr>
    </w:tbl>
    <w:p/>
    <w:p>
      <w:pPr>
        <w:spacing w:after="160" w:line="276" w:lineRule="auto" w:before="240"/>
        <w:jc w:val="right"/>
        <w:bidi w:val="1"/>
      </w:pPr>
      <w:r>
        <w:rPr>
          <w:rFonts w:ascii="Arial" w:hAnsi="Arial" w:cs="Arial"/>
          <w:b/>
          <w:color w:val="183C69"/>
          <w:sz w:val="36"/>
        </w:rPr>
        <w:t>16) ملاحظات مهمة للاختبار</w:t>
      </w:r>
    </w:p>
    <w:p>
      <w:pPr>
        <w:spacing w:after="80"/>
        <w:ind w:right="280" w:hanging="280"/>
        <w:jc w:val="right"/>
        <w:bidi w:val="1"/>
      </w:pPr>
      <w:r>
        <w:rPr>
          <w:rFonts w:ascii="Arial" w:hAnsi="Arial" w:cs="Arial"/>
          <w:color w:val="575757"/>
          <w:sz w:val="23"/>
        </w:rPr>
        <w:t>• يجب اختبار الاستراتيجية لكل أصل مالي بشكل مستقل لأن قوتها تختلف بين الأسهم، المؤشرات، الذهب، العملات، والكريبتو.</w:t>
      </w:r>
    </w:p>
    <w:p>
      <w:pPr>
        <w:spacing w:after="80"/>
        <w:ind w:right="280" w:hanging="280"/>
        <w:jc w:val="right"/>
        <w:bidi w:val="1"/>
      </w:pPr>
      <w:r>
        <w:rPr>
          <w:rFonts w:ascii="Arial" w:hAnsi="Arial" w:cs="Arial"/>
          <w:color w:val="575757"/>
          <w:sz w:val="23"/>
        </w:rPr>
        <w:t>• قد تعمل بشكل أقوى على الأسهم الفردية ذات السيولة العالية لأن أحداث السيولة تكون أوضح من بعض المؤشرات الكبيرة.</w:t>
      </w:r>
    </w:p>
    <w:p>
      <w:pPr>
        <w:spacing w:after="80"/>
        <w:ind w:right="280" w:hanging="280"/>
        <w:jc w:val="right"/>
        <w:bidi w:val="1"/>
      </w:pPr>
      <w:r>
        <w:rPr>
          <w:rFonts w:ascii="Arial" w:hAnsi="Arial" w:cs="Arial"/>
          <w:color w:val="575757"/>
          <w:sz w:val="23"/>
        </w:rPr>
        <w:t>• لا تعتمد على نتائج تاريخية فقط؛ يجب اختبارها Forward Test ثم Demo ثم حجم صغير.</w:t>
      </w:r>
    </w:p>
    <w:p>
      <w:pPr>
        <w:spacing w:after="80"/>
        <w:ind w:right="280" w:hanging="280"/>
        <w:jc w:val="right"/>
        <w:bidi w:val="1"/>
      </w:pPr>
      <w:r>
        <w:rPr>
          <w:rFonts w:ascii="Arial" w:hAnsi="Arial" w:cs="Arial"/>
          <w:color w:val="575757"/>
          <w:sz w:val="23"/>
        </w:rPr>
        <w:t>• الاستراتيجية مصممة لبداية الجلسة، لذلك استخدامها خارج أول 90 دقيقة يغير منطقها الأصلي.</w:t>
      </w:r>
    </w:p>
    <w:p>
      <w:pPr>
        <w:spacing w:after="80"/>
        <w:ind w:right="280" w:hanging="280"/>
        <w:jc w:val="right"/>
        <w:bidi w:val="1"/>
      </w:pPr>
      <w:r>
        <w:rPr>
          <w:rFonts w:ascii="Arial" w:hAnsi="Arial" w:cs="Arial"/>
          <w:color w:val="575757"/>
          <w:sz w:val="23"/>
        </w:rPr>
        <w:t>• وجود شمعة انعكاسية داخل النطاق لا يكفي؛ الشرط أن تكون خارج النطاق بعد حركة تمدد واضحة.</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787878"/>
        <w:sz w:val="17"/>
      </w:rPr>
      <w:t>استراتيجية الانعكاس السريع بعد شمعة السيولة | Quick Flip Opening Liquidity Scalper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