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bidi/>
      </w:pPr>
      <w:r>
        <w:rPr>
          <w:rFonts w:ascii="Arial" w:hAnsi="Arial" w:cs="Arial"/>
          <w:b/>
          <w:sz w:val="36"/>
        </w:rPr>
        <w:t>JA FalconCore Automated Trading Platform</w:t>
      </w:r>
    </w:p>
    <w:p>
      <w:pPr>
        <w:jc w:val="center"/>
        <w:bidi/>
      </w:pPr>
      <w:r>
        <w:rPr>
          <w:rFonts w:ascii="Arial" w:hAnsi="Arial" w:cs="Arial"/>
          <w:b/>
          <w:sz w:val="30"/>
        </w:rPr>
        <w:t>ملف ذاكرة المشروع — v0.15.0 Locked</w:t>
      </w:r>
    </w:p>
    <w:p>
      <w:pPr>
        <w:jc w:val="center"/>
        <w:bidi/>
      </w:pPr>
      <w:r>
        <w:rPr>
          <w:rFonts w:ascii="Arial" w:hAnsi="Arial" w:cs="Arial"/>
          <w:b/>
          <w:sz w:val="22"/>
        </w:rPr>
        <w:t>FVG Micro Shadow Lifecycle Report Calibration &amp; Cleanup Gate Review</w:t>
      </w:r>
    </w:p>
    <w:p>
      <w:pPr>
        <w:jc w:val="center"/>
        <w:bidi/>
      </w:pPr>
      <w:r>
        <w:rPr>
          <w:rFonts w:ascii="Arial" w:hAnsi="Arial" w:cs="Arial"/>
          <w:b/>
          <w:sz w:val="22"/>
        </w:rPr>
        <w:t>Compile Status: 0 errors, 0 warnings</w:t>
      </w:r>
    </w:p>
    <w:p>
      <w:pPr>
        <w:pStyle w:val="Heading1"/>
        <w:jc w:val="right"/>
        <w:bidi/>
      </w:pPr>
      <w:r>
        <w:rPr>
          <w:rFonts w:ascii="Arial" w:hAnsi="Arial" w:cs="Arial"/>
          <w:b/>
          <w:sz w:val="28"/>
        </w:rPr>
        <w:t>1) هدف المشروع</w:t>
      </w:r>
    </w:p>
    <w:p>
      <w:pPr>
        <w:jc w:val="right"/>
        <w:bidi/>
      </w:pPr>
      <w:r>
        <w:rPr>
          <w:rFonts w:ascii="Arial" w:hAnsi="Arial" w:cs="Arial"/>
          <w:b w:val="0"/>
          <w:sz w:val="20"/>
        </w:rPr>
        <w:t>• بناء EA احترافي من الصفر باسم JA FalconCore Automated Trading Platform، بدون نقل فوضى المؤشر القديم.</w:t>
      </w:r>
    </w:p>
    <w:p>
      <w:pPr>
        <w:jc w:val="right"/>
        <w:bidi/>
      </w:pPr>
      <w:r>
        <w:rPr>
          <w:rFonts w:ascii="Arial" w:hAnsi="Arial" w:cs="Arial"/>
          <w:b w:val="0"/>
          <w:sz w:val="20"/>
        </w:rPr>
        <w:t>• الهدف الحالي في v0.x هو بناء المعمارية، التقارير، Shadow simulation، وحواجز الأمان قبل أي تنفيذ حقيقي.</w:t>
      </w:r>
    </w:p>
    <w:p>
      <w:pPr>
        <w:jc w:val="right"/>
        <w:bidi/>
      </w:pPr>
      <w:r>
        <w:rPr>
          <w:rFonts w:ascii="Arial" w:hAnsi="Arial" w:cs="Arial"/>
          <w:b w:val="0"/>
          <w:sz w:val="20"/>
        </w:rPr>
        <w:t>• كل Strategy تمر عبر: Detector → Candidate → Retest Watcher → TradePlan → Staging Guard → Shadow Lifecycle → Reports قبل Paper/Demo/Live.</w:t>
      </w:r>
    </w:p>
    <w:p>
      <w:pPr>
        <w:pStyle w:val="Heading1"/>
        <w:jc w:val="right"/>
        <w:bidi/>
      </w:pPr>
      <w:r>
        <w:rPr>
          <w:rFonts w:ascii="Arial" w:hAnsi="Arial" w:cs="Arial"/>
          <w:b/>
          <w:sz w:val="28"/>
        </w:rPr>
        <w:t>2) الحالة الحالية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3312"/>
            <w:vAlign w:val="center"/>
            <w:shd w:fill="D9EAF7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/>
                <w:sz w:val="16"/>
              </w:rPr>
              <w:t>البند</w:t>
            </w:r>
          </w:p>
        </w:tc>
        <w:tc>
          <w:tcPr>
            <w:tcW w:type="dxa" w:w="6912"/>
            <w:vAlign w:val="center"/>
            <w:shd w:fill="D9EAF7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/>
                <w:sz w:val="16"/>
              </w:rPr>
              <w:t>الحالة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 w:val="0"/>
                <w:sz w:val="16"/>
              </w:rPr>
              <w:t>Current Locked Baseline</w:t>
            </w:r>
          </w:p>
        </w:tc>
        <w:tc>
          <w:tcPr>
            <w:tcW w:type="dxa" w:w="6912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 w:val="0"/>
                <w:sz w:val="16"/>
              </w:rPr>
              <w:t>v0.15.0 — Report Calibration &amp; Cleanup Gate Review Locked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 w:val="0"/>
                <w:sz w:val="16"/>
              </w:rPr>
              <w:t>Compile Status</w:t>
            </w:r>
          </w:p>
        </w:tc>
        <w:tc>
          <w:tcPr>
            <w:tcW w:type="dxa" w:w="6912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 w:val="0"/>
                <w:sz w:val="16"/>
              </w:rPr>
              <w:t>0 errors, 0 warnings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 w:val="0"/>
                <w:sz w:val="16"/>
              </w:rPr>
              <w:t>Official File</w:t>
            </w:r>
          </w:p>
        </w:tc>
        <w:tc>
          <w:tcPr>
            <w:tcW w:type="dxa" w:w="6912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 w:val="0"/>
                <w:sz w:val="16"/>
              </w:rPr>
              <w:t>JA_FalconCore_Automated_Trading_Platform.mq5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 w:val="0"/>
                <w:sz w:val="16"/>
              </w:rPr>
              <w:t>Execution</w:t>
            </w:r>
          </w:p>
        </w:tc>
        <w:tc>
          <w:tcPr>
            <w:tcW w:type="dxa" w:w="6912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 w:val="0"/>
                <w:sz w:val="16"/>
              </w:rPr>
              <w:t>مغلق بالكامل — لا يوجد OrderSend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 w:val="0"/>
                <w:sz w:val="16"/>
              </w:rPr>
              <w:t>Real Trading</w:t>
            </w:r>
          </w:p>
        </w:tc>
        <w:tc>
          <w:tcPr>
            <w:tcW w:type="dxa" w:w="6912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 w:val="0"/>
                <w:sz w:val="16"/>
              </w:rPr>
              <w:t>غير مسموح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 w:val="0"/>
                <w:sz w:val="16"/>
              </w:rPr>
              <w:t>Paper/Demo/Live</w:t>
            </w:r>
          </w:p>
        </w:tc>
        <w:tc>
          <w:tcPr>
            <w:tcW w:type="dxa" w:w="6912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 w:val="0"/>
                <w:sz w:val="16"/>
              </w:rPr>
              <w:t>غير مفعلة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 w:val="0"/>
                <w:sz w:val="16"/>
              </w:rPr>
              <w:t>Current Active Strategy Path</w:t>
            </w:r>
          </w:p>
        </w:tc>
        <w:tc>
          <w:tcPr>
            <w:tcW w:type="dxa" w:w="6912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 w:val="0"/>
                <w:sz w:val="16"/>
              </w:rPr>
              <w:t>FVG_MICRO_RETEST Shadow-only research path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 w:val="0"/>
                <w:sz w:val="16"/>
              </w:rPr>
              <w:t>Latest Addition</w:t>
            </w:r>
          </w:p>
        </w:tc>
        <w:tc>
          <w:tcPr>
            <w:tcW w:type="dxa" w:w="6912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 w:val="0"/>
                <w:sz w:val="16"/>
              </w:rPr>
              <w:t>Report Calibration Diagnostics + Diagnostic Cleanup Gate review</w:t>
            </w:r>
          </w:p>
        </w:tc>
      </w:tr>
    </w:tbl>
    <w:p>
      <w:pPr>
        <w:pStyle w:val="Heading1"/>
        <w:jc w:val="right"/>
        <w:bidi/>
      </w:pPr>
      <w:r>
        <w:rPr>
          <w:rFonts w:ascii="Arial" w:hAnsi="Arial" w:cs="Arial"/>
          <w:b/>
          <w:sz w:val="28"/>
        </w:rPr>
        <w:t>3) المعمارية الحالية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3600"/>
            <w:vAlign w:val="center"/>
            <w:shd w:fill="D9EAF7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/>
                <w:sz w:val="16"/>
              </w:rPr>
              <w:t>الطبقة</w:t>
            </w:r>
          </w:p>
        </w:tc>
        <w:tc>
          <w:tcPr>
            <w:tcW w:type="dxa" w:w="6624"/>
            <w:vAlign w:val="center"/>
            <w:shd w:fill="D9EAF7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/>
                <w:sz w:val="16"/>
              </w:rPr>
              <w:t>الحالة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 w:val="0"/>
                <w:sz w:val="16"/>
              </w:rPr>
              <w:t>Safety &amp; Risk Inputs</w:t>
            </w:r>
          </w:p>
        </w:tc>
        <w:tc>
          <w:tcPr>
            <w:tcW w:type="dxa" w:w="6624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 w:val="0"/>
                <w:sz w:val="16"/>
              </w:rPr>
              <w:t>موجودة وبسيطة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 w:val="0"/>
                <w:sz w:val="16"/>
              </w:rPr>
              <w:t>Market Context</w:t>
            </w:r>
          </w:p>
        </w:tc>
        <w:tc>
          <w:tcPr>
            <w:tcW w:type="dxa" w:w="6624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 w:val="0"/>
                <w:sz w:val="16"/>
              </w:rPr>
              <w:t>موجود — Symbol diagnostics + quote snapshot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 w:val="0"/>
                <w:sz w:val="16"/>
              </w:rPr>
              <w:t>Candle Cache</w:t>
            </w:r>
          </w:p>
        </w:tc>
        <w:tc>
          <w:tcPr>
            <w:tcW w:type="dxa" w:w="6624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 w:val="0"/>
                <w:sz w:val="16"/>
              </w:rPr>
              <w:t>موجود — M1/M5/M15/H1/H4/D1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 w:val="0"/>
                <w:sz w:val="16"/>
              </w:rPr>
              <w:t>Evidence Framework</w:t>
            </w:r>
          </w:p>
        </w:tc>
        <w:tc>
          <w:tcPr>
            <w:tcW w:type="dxa" w:w="6624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 w:val="0"/>
                <w:sz w:val="16"/>
              </w:rPr>
              <w:t>موجود — Candle/Chart/Objective/SMC contracts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 w:val="0"/>
                <w:sz w:val="16"/>
              </w:rPr>
              <w:t>Strategy Registry</w:t>
            </w:r>
          </w:p>
        </w:tc>
        <w:tc>
          <w:tcPr>
            <w:tcW w:type="dxa" w:w="6624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 w:val="0"/>
                <w:sz w:val="16"/>
              </w:rPr>
              <w:t>موجود — كل الاستراتيجيات مسجلة Shadow-only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 w:val="0"/>
                <w:sz w:val="16"/>
              </w:rPr>
              <w:t>No-Lookahead Guard</w:t>
            </w:r>
          </w:p>
        </w:tc>
        <w:tc>
          <w:tcPr>
            <w:tcW w:type="dxa" w:w="6624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 w:val="0"/>
                <w:sz w:val="16"/>
              </w:rPr>
              <w:t>موجود ومثبت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 w:val="0"/>
                <w:sz w:val="16"/>
              </w:rPr>
              <w:t>FVG Detector</w:t>
            </w:r>
          </w:p>
        </w:tc>
        <w:tc>
          <w:tcPr>
            <w:tcW w:type="dxa" w:w="6624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 w:val="0"/>
                <w:sz w:val="16"/>
              </w:rPr>
              <w:t>موجود — M5 / 3 closed candles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 w:val="0"/>
                <w:sz w:val="16"/>
              </w:rPr>
              <w:t>FVG Candidate Builder</w:t>
            </w:r>
          </w:p>
        </w:tc>
        <w:tc>
          <w:tcPr>
            <w:tcW w:type="dxa" w:w="6624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 w:val="0"/>
                <w:sz w:val="16"/>
              </w:rPr>
              <w:t>موجود — Research snapshot فقط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 w:val="0"/>
                <w:sz w:val="16"/>
              </w:rPr>
              <w:t>Retest Watcher</w:t>
            </w:r>
          </w:p>
        </w:tc>
        <w:tc>
          <w:tcPr>
            <w:tcW w:type="dxa" w:w="6624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 w:val="0"/>
                <w:sz w:val="16"/>
              </w:rPr>
              <w:t>موجود — يراقب لمس FVG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 w:val="0"/>
                <w:sz w:val="16"/>
              </w:rPr>
              <w:t>TradePlan Staging</w:t>
            </w:r>
          </w:p>
        </w:tc>
        <w:tc>
          <w:tcPr>
            <w:tcW w:type="dxa" w:w="6624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 w:val="0"/>
                <w:sz w:val="16"/>
              </w:rPr>
              <w:t>موجود — Shadow staging فقط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 w:val="0"/>
                <w:sz w:val="16"/>
              </w:rPr>
              <w:t>Lifecycle Simulation</w:t>
            </w:r>
          </w:p>
        </w:tc>
        <w:tc>
          <w:tcPr>
            <w:tcW w:type="dxa" w:w="6624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 w:val="0"/>
                <w:sz w:val="16"/>
              </w:rPr>
              <w:t>موجود — TP1/SL/Timeout diagnostic close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 w:val="0"/>
                <w:sz w:val="16"/>
              </w:rPr>
              <w:t>Report Calibration</w:t>
            </w:r>
          </w:p>
        </w:tc>
        <w:tc>
          <w:tcPr>
            <w:tcW w:type="dxa" w:w="6624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 w:val="0"/>
                <w:sz w:val="16"/>
              </w:rPr>
              <w:t>موجود ومقفل في v0.15.0</w:t>
            </w:r>
          </w:p>
        </w:tc>
      </w:tr>
    </w:tbl>
    <w:p>
      <w:pPr>
        <w:pStyle w:val="Heading1"/>
        <w:jc w:val="right"/>
        <w:bidi/>
      </w:pPr>
      <w:r>
        <w:rPr>
          <w:rFonts w:ascii="Arial" w:hAnsi="Arial" w:cs="Arial"/>
          <w:b/>
          <w:sz w:val="28"/>
        </w:rPr>
        <w:t>4) التقنيات المستخدمة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3600"/>
            <w:vAlign w:val="center"/>
            <w:shd w:fill="D9EAF7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/>
                <w:sz w:val="16"/>
              </w:rPr>
              <w:t>العنصر</w:t>
            </w:r>
          </w:p>
        </w:tc>
        <w:tc>
          <w:tcPr>
            <w:tcW w:type="dxa" w:w="6624"/>
            <w:vAlign w:val="center"/>
            <w:shd w:fill="D9EAF7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/>
                <w:sz w:val="16"/>
              </w:rPr>
              <w:t>الاستخدام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 w:val="0"/>
                <w:sz w:val="16"/>
              </w:rPr>
              <w:t>MQL5 Expert Advisor</w:t>
            </w:r>
          </w:p>
        </w:tc>
        <w:tc>
          <w:tcPr>
            <w:tcW w:type="dxa" w:w="6624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 w:val="0"/>
                <w:sz w:val="16"/>
              </w:rPr>
              <w:t>ملف EA رئيسي واحد حتى الآن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 w:val="0"/>
                <w:sz w:val="16"/>
              </w:rPr>
              <w:t>MetaTrader 5</w:t>
            </w:r>
          </w:p>
        </w:tc>
        <w:tc>
          <w:tcPr>
            <w:tcW w:type="dxa" w:w="6624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 w:val="0"/>
                <w:sz w:val="16"/>
              </w:rPr>
              <w:t>Compile وتشغيل تشخيصي على الشارت لاحقًا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 w:val="0"/>
                <w:sz w:val="16"/>
              </w:rPr>
              <w:t>CSV Reports</w:t>
            </w:r>
          </w:p>
        </w:tc>
        <w:tc>
          <w:tcPr>
            <w:tcW w:type="dxa" w:w="6624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 w:val="0"/>
                <w:sz w:val="16"/>
              </w:rPr>
              <w:t>TradeLifecycle, Summary, Diagnostics, Calibration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 w:val="0"/>
                <w:sz w:val="16"/>
              </w:rPr>
              <w:t>MqlRates / CopyRates</w:t>
            </w:r>
          </w:p>
        </w:tc>
        <w:tc>
          <w:tcPr>
            <w:tcW w:type="dxa" w:w="6624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 w:val="0"/>
                <w:sz w:val="16"/>
              </w:rPr>
              <w:t>قراءة الشموع المغلقة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 w:val="0"/>
                <w:sz w:val="16"/>
              </w:rPr>
              <w:t>SymbolInfoDouble / SymbolInfoInteger / SymbolInfoTick</w:t>
            </w:r>
          </w:p>
        </w:tc>
        <w:tc>
          <w:tcPr>
            <w:tcW w:type="dxa" w:w="6624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 w:val="0"/>
                <w:sz w:val="16"/>
              </w:rPr>
              <w:t>معلومات الرمز والسعر الحالي</w:t>
            </w:r>
          </w:p>
        </w:tc>
      </w:tr>
    </w:tbl>
    <w:p>
      <w:pPr>
        <w:pStyle w:val="Heading1"/>
        <w:jc w:val="right"/>
        <w:bidi/>
      </w:pPr>
      <w:r>
        <w:rPr>
          <w:rFonts w:ascii="Arial" w:hAnsi="Arial" w:cs="Arial"/>
          <w:b/>
          <w:sz w:val="28"/>
        </w:rPr>
        <w:t>5) القواعد المهمة</w:t>
      </w:r>
    </w:p>
    <w:p>
      <w:pPr>
        <w:jc w:val="right"/>
        <w:bidi/>
      </w:pPr>
      <w:r>
        <w:rPr>
          <w:rFonts w:ascii="Arial" w:hAnsi="Arial" w:cs="Arial"/>
          <w:b w:val="0"/>
          <w:sz w:val="20"/>
        </w:rPr>
        <w:t>• لا يوجد تنفيذ حقيقي قبل الوصول إلى مراحل Paper/Demo المحددة رسميًا.</w:t>
      </w:r>
    </w:p>
    <w:p>
      <w:pPr>
        <w:jc w:val="right"/>
        <w:bidi/>
      </w:pPr>
      <w:r>
        <w:rPr>
          <w:rFonts w:ascii="Arial" w:hAnsi="Arial" w:cs="Arial"/>
          <w:b w:val="0"/>
          <w:sz w:val="20"/>
        </w:rPr>
        <w:t>• أي استراتيجية جديدة تبدأ Shadow فقط.</w:t>
      </w:r>
    </w:p>
    <w:p>
      <w:pPr>
        <w:jc w:val="right"/>
        <w:bidi/>
      </w:pPr>
      <w:r>
        <w:rPr>
          <w:rFonts w:ascii="Arial" w:hAnsi="Arial" w:cs="Arial"/>
          <w:b w:val="0"/>
          <w:sz w:val="20"/>
        </w:rPr>
        <w:t>• No OrderSend داخل مراحل v0.x.</w:t>
      </w:r>
    </w:p>
    <w:p>
      <w:pPr>
        <w:jc w:val="right"/>
        <w:bidi/>
      </w:pPr>
      <w:r>
        <w:rPr>
          <w:rFonts w:ascii="Arial" w:hAnsi="Arial" w:cs="Arial"/>
          <w:b w:val="0"/>
          <w:sz w:val="20"/>
        </w:rPr>
        <w:t>• استخدام الشموع المغلقة فقط عند اتخاذ قرارات تحليلية.</w:t>
      </w:r>
    </w:p>
    <w:p>
      <w:pPr>
        <w:jc w:val="right"/>
        <w:bidi/>
      </w:pPr>
      <w:r>
        <w:rPr>
          <w:rFonts w:ascii="Arial" w:hAnsi="Arial" w:cs="Arial"/>
          <w:b w:val="0"/>
          <w:sz w:val="20"/>
        </w:rPr>
        <w:t>• ممنوع الاعتماد على final-state أو ترتيب high/low داخل نفس الشمعة.</w:t>
      </w:r>
    </w:p>
    <w:p>
      <w:pPr>
        <w:jc w:val="right"/>
        <w:bidi/>
      </w:pPr>
      <w:r>
        <w:rPr>
          <w:rFonts w:ascii="Arial" w:hAnsi="Arial" w:cs="Arial"/>
          <w:b w:val="0"/>
          <w:sz w:val="20"/>
        </w:rPr>
        <w:t>• Diagnostic Cleanup Gate إلزامي: بعد ثبوت أي مسار تشخيصي ننظف الكود والتقارير والـ inputs المؤقتة.</w:t>
      </w:r>
    </w:p>
    <w:p>
      <w:pPr>
        <w:jc w:val="right"/>
        <w:bidi/>
      </w:pPr>
      <w:r>
        <w:rPr>
          <w:rFonts w:ascii="Arial" w:hAnsi="Arial" w:cs="Arial"/>
          <w:b w:val="0"/>
          <w:sz w:val="20"/>
        </w:rPr>
        <w:t>• Trading Logic Change = NO أثناء إصدارات التنظيف أو معايرة التقرير.</w:t>
      </w:r>
    </w:p>
    <w:p>
      <w:pPr>
        <w:pStyle w:val="Heading1"/>
        <w:jc w:val="right"/>
        <w:bidi/>
      </w:pPr>
      <w:r>
        <w:rPr>
          <w:rFonts w:ascii="Arial" w:hAnsi="Arial" w:cs="Arial"/>
          <w:b/>
          <w:sz w:val="28"/>
        </w:rPr>
        <w:t>6) القرارات النهائية حتى v0.15.0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3600"/>
            <w:vAlign w:val="center"/>
            <w:shd w:fill="D9EAF7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/>
                <w:sz w:val="16"/>
              </w:rPr>
              <w:t>القرار</w:t>
            </w:r>
          </w:p>
        </w:tc>
        <w:tc>
          <w:tcPr>
            <w:tcW w:type="dxa" w:w="6624"/>
            <w:vAlign w:val="center"/>
            <w:shd w:fill="D9EAF7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/>
                <w:sz w:val="16"/>
              </w:rPr>
              <w:t>الحالة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 w:val="0"/>
                <w:sz w:val="16"/>
              </w:rPr>
              <w:t>اسم المشروع</w:t>
            </w:r>
          </w:p>
        </w:tc>
        <w:tc>
          <w:tcPr>
            <w:tcW w:type="dxa" w:w="6624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 w:val="0"/>
                <w:sz w:val="16"/>
              </w:rPr>
              <w:t>JA FalconCore Automated Trading Platform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 w:val="0"/>
                <w:sz w:val="16"/>
              </w:rPr>
              <w:t>أول محرك بحثي</w:t>
            </w:r>
          </w:p>
        </w:tc>
        <w:tc>
          <w:tcPr>
            <w:tcW w:type="dxa" w:w="6624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 w:val="0"/>
                <w:sz w:val="16"/>
              </w:rPr>
              <w:t>FVG_MICRO_RETEST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 w:val="0"/>
                <w:sz w:val="16"/>
              </w:rPr>
              <w:t>الفريم الأول للكشف</w:t>
            </w:r>
          </w:p>
        </w:tc>
        <w:tc>
          <w:tcPr>
            <w:tcW w:type="dxa" w:w="6624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 w:val="0"/>
                <w:sz w:val="16"/>
              </w:rPr>
              <w:t>M5 فقط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 w:val="0"/>
                <w:sz w:val="16"/>
              </w:rPr>
              <w:t>FVG Detection Rule</w:t>
            </w:r>
          </w:p>
        </w:tc>
        <w:tc>
          <w:tcPr>
            <w:tcW w:type="dxa" w:w="6624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 w:val="0"/>
                <w:sz w:val="16"/>
              </w:rPr>
              <w:t>Bullish: older.high &lt; newer.low | Bearish: older.low &gt; newer.high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 w:val="0"/>
                <w:sz w:val="16"/>
              </w:rPr>
              <w:t>Trade Lifecycle</w:t>
            </w:r>
          </w:p>
        </w:tc>
        <w:tc>
          <w:tcPr>
            <w:tcW w:type="dxa" w:w="6624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 w:val="0"/>
                <w:sz w:val="16"/>
              </w:rPr>
              <w:t>Shadow simulation only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 w:val="0"/>
                <w:sz w:val="16"/>
              </w:rPr>
              <w:t>Report Calibration</w:t>
            </w:r>
          </w:p>
        </w:tc>
        <w:tc>
          <w:tcPr>
            <w:tcW w:type="dxa" w:w="6624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 w:val="0"/>
                <w:sz w:val="16"/>
              </w:rPr>
              <w:t>موجود ومقفل في v0.15.0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 w:val="0"/>
                <w:sz w:val="16"/>
              </w:rPr>
              <w:t>Cleanup Gate</w:t>
            </w:r>
          </w:p>
        </w:tc>
        <w:tc>
          <w:tcPr>
            <w:tcW w:type="dxa" w:w="6624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 w:val="0"/>
                <w:sz w:val="16"/>
              </w:rPr>
              <w:t>مفعل كقرار معماري رسمي</w:t>
            </w:r>
          </w:p>
        </w:tc>
      </w:tr>
    </w:tbl>
    <w:p>
      <w:pPr>
        <w:pStyle w:val="Heading1"/>
        <w:jc w:val="right"/>
        <w:bidi/>
      </w:pPr>
      <w:r>
        <w:rPr>
          <w:rFonts w:ascii="Arial" w:hAnsi="Arial" w:cs="Arial"/>
          <w:b/>
          <w:sz w:val="28"/>
        </w:rPr>
        <w:t>7) أسلوب كتابة الكود</w:t>
      </w:r>
    </w:p>
    <w:p>
      <w:pPr>
        <w:jc w:val="right"/>
        <w:bidi/>
      </w:pPr>
      <w:r>
        <w:rPr>
          <w:rFonts w:ascii="Arial" w:hAnsi="Arial" w:cs="Arial"/>
          <w:b w:val="0"/>
          <w:sz w:val="20"/>
        </w:rPr>
        <w:t>• كل إصدار يضيف طبقة واحدة فقط.</w:t>
      </w:r>
    </w:p>
    <w:p>
      <w:pPr>
        <w:jc w:val="right"/>
        <w:bidi/>
      </w:pPr>
      <w:r>
        <w:rPr>
          <w:rFonts w:ascii="Arial" w:hAnsi="Arial" w:cs="Arial"/>
          <w:b w:val="0"/>
          <w:sz w:val="20"/>
        </w:rPr>
        <w:t>• كل طبقة لها Snapshot/Status/Diagnostics مستقل.</w:t>
      </w:r>
    </w:p>
    <w:p>
      <w:pPr>
        <w:jc w:val="right"/>
        <w:bidi/>
      </w:pPr>
      <w:r>
        <w:rPr>
          <w:rFonts w:ascii="Arial" w:hAnsi="Arial" w:cs="Arial"/>
          <w:b w:val="0"/>
          <w:sz w:val="20"/>
        </w:rPr>
        <w:t>• لا نضيف inputs كثيرة للمستخدم النهائي؛ diagnostics inputs مؤقتة وتُزال لاحقًا.</w:t>
      </w:r>
    </w:p>
    <w:p>
      <w:pPr>
        <w:jc w:val="right"/>
        <w:bidi/>
      </w:pPr>
      <w:r>
        <w:rPr>
          <w:rFonts w:ascii="Arial" w:hAnsi="Arial" w:cs="Arial"/>
          <w:b w:val="0"/>
          <w:sz w:val="20"/>
        </w:rPr>
        <w:t>• أسماء الدوال والكلاسات يجب أن تبدأ بـ Falcon أو CFalcon قدر الإمكان.</w:t>
      </w:r>
    </w:p>
    <w:p>
      <w:pPr>
        <w:jc w:val="right"/>
        <w:bidi/>
      </w:pPr>
      <w:r>
        <w:rPr>
          <w:rFonts w:ascii="Arial" w:hAnsi="Arial" w:cs="Arial"/>
          <w:b w:val="0"/>
          <w:sz w:val="20"/>
        </w:rPr>
        <w:t>• أي تقرير جديد يجب أن يكون مؤقتًا أو Core بقرار واضح.</w:t>
      </w:r>
    </w:p>
    <w:p>
      <w:pPr>
        <w:jc w:val="right"/>
        <w:bidi/>
      </w:pPr>
      <w:r>
        <w:rPr>
          <w:rFonts w:ascii="Arial" w:hAnsi="Arial" w:cs="Arial"/>
          <w:b w:val="0"/>
          <w:sz w:val="20"/>
        </w:rPr>
        <w:t>• بعد كل Compile ناجح يتم قفل الإصدار بملف ذاكرة جديد.</w:t>
      </w:r>
    </w:p>
    <w:p>
      <w:pPr>
        <w:pStyle w:val="Heading1"/>
        <w:jc w:val="right"/>
        <w:bidi/>
      </w:pPr>
      <w:r>
        <w:rPr>
          <w:rFonts w:ascii="Arial" w:hAnsi="Arial" w:cs="Arial"/>
          <w:b/>
          <w:sz w:val="28"/>
        </w:rPr>
        <w:t>8) ما تم إنجازه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016"/>
            <w:vAlign w:val="center"/>
            <w:shd w:fill="D9EAF7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/>
                <w:sz w:val="16"/>
              </w:rPr>
              <w:t>الإصدار</w:t>
            </w:r>
          </w:p>
        </w:tc>
        <w:tc>
          <w:tcPr>
            <w:tcW w:type="dxa" w:w="8352"/>
            <w:vAlign w:val="center"/>
            <w:shd w:fill="D9EAF7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/>
                <w:sz w:val="16"/>
              </w:rPr>
              <w:t>الإنجاز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 w:val="0"/>
                <w:sz w:val="16"/>
              </w:rPr>
              <w:t>v0.0.2</w:t>
            </w:r>
          </w:p>
        </w:tc>
        <w:tc>
          <w:tcPr>
            <w:tcW w:type="dxa" w:w="8352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 w:val="0"/>
                <w:sz w:val="16"/>
              </w:rPr>
              <w:t>Clean baseline + official name + 0 warnings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 w:val="0"/>
                <w:sz w:val="16"/>
              </w:rPr>
              <w:t>v0.1.1</w:t>
            </w:r>
          </w:p>
        </w:tc>
        <w:tc>
          <w:tcPr>
            <w:tcW w:type="dxa" w:w="8352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 w:val="0"/>
                <w:sz w:val="16"/>
              </w:rPr>
              <w:t>Core contracts + report writer foundation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 w:val="0"/>
                <w:sz w:val="16"/>
              </w:rPr>
              <w:t>v0.2.0</w:t>
            </w:r>
          </w:p>
        </w:tc>
        <w:tc>
          <w:tcPr>
            <w:tcW w:type="dxa" w:w="8352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 w:val="0"/>
                <w:sz w:val="16"/>
              </w:rPr>
              <w:t>Market context + symbol diagnostics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 w:val="0"/>
                <w:sz w:val="16"/>
              </w:rPr>
              <w:t>v0.3.0</w:t>
            </w:r>
          </w:p>
        </w:tc>
        <w:tc>
          <w:tcPr>
            <w:tcW w:type="dxa" w:w="8352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 w:val="0"/>
                <w:sz w:val="16"/>
              </w:rPr>
              <w:t>Multi-timeframe candle cache incl. H4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 w:val="0"/>
                <w:sz w:val="16"/>
              </w:rPr>
              <w:t>v0.4.0</w:t>
            </w:r>
          </w:p>
        </w:tc>
        <w:tc>
          <w:tcPr>
            <w:tcW w:type="dxa" w:w="8352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 w:val="0"/>
                <w:sz w:val="16"/>
              </w:rPr>
              <w:t>Evidence framework contracts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 w:val="0"/>
                <w:sz w:val="16"/>
              </w:rPr>
              <w:t>v0.5.1</w:t>
            </w:r>
          </w:p>
        </w:tc>
        <w:tc>
          <w:tcPr>
            <w:tcW w:type="dxa" w:w="8352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 w:val="0"/>
                <w:sz w:val="16"/>
              </w:rPr>
              <w:t>Shadow engine framework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 w:val="0"/>
                <w:sz w:val="16"/>
              </w:rPr>
              <w:t>v0.6.0</w:t>
            </w:r>
          </w:p>
        </w:tc>
        <w:tc>
          <w:tcPr>
            <w:tcW w:type="dxa" w:w="8352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 w:val="0"/>
                <w:sz w:val="16"/>
              </w:rPr>
              <w:t>No-lookahead runtime guard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 w:val="0"/>
                <w:sz w:val="16"/>
              </w:rPr>
              <w:t>v0.7.0</w:t>
            </w:r>
          </w:p>
        </w:tc>
        <w:tc>
          <w:tcPr>
            <w:tcW w:type="dxa" w:w="8352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 w:val="0"/>
                <w:sz w:val="16"/>
              </w:rPr>
              <w:t>Strategy registry + engine health switches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 w:val="0"/>
                <w:sz w:val="16"/>
              </w:rPr>
              <w:t>v0.8.0</w:t>
            </w:r>
          </w:p>
        </w:tc>
        <w:tc>
          <w:tcPr>
            <w:tcW w:type="dxa" w:w="8352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 w:val="0"/>
                <w:sz w:val="16"/>
              </w:rPr>
              <w:t>First shadow strategy adapter shell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 w:val="0"/>
                <w:sz w:val="16"/>
              </w:rPr>
              <w:t>v0.9.0</w:t>
            </w:r>
          </w:p>
        </w:tc>
        <w:tc>
          <w:tcPr>
            <w:tcW w:type="dxa" w:w="8352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 w:val="0"/>
                <w:sz w:val="16"/>
              </w:rPr>
              <w:t>FVG detector stub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 w:val="0"/>
                <w:sz w:val="16"/>
              </w:rPr>
              <w:t>v0.10.1</w:t>
            </w:r>
          </w:p>
        </w:tc>
        <w:tc>
          <w:tcPr>
            <w:tcW w:type="dxa" w:w="8352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 w:val="0"/>
                <w:sz w:val="16"/>
              </w:rPr>
              <w:t>Real FVG detection compile-clean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 w:val="0"/>
                <w:sz w:val="16"/>
              </w:rPr>
              <w:t>v0.11.0</w:t>
            </w:r>
          </w:p>
        </w:tc>
        <w:tc>
          <w:tcPr>
            <w:tcW w:type="dxa" w:w="8352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 w:val="0"/>
                <w:sz w:val="16"/>
              </w:rPr>
              <w:t>FVG shadow candidate builder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 w:val="0"/>
                <w:sz w:val="16"/>
              </w:rPr>
              <w:t>v0.12.0</w:t>
            </w:r>
          </w:p>
        </w:tc>
        <w:tc>
          <w:tcPr>
            <w:tcW w:type="dxa" w:w="8352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 w:val="0"/>
                <w:sz w:val="16"/>
              </w:rPr>
              <w:t>FVG retest watcher + TradePlan skeleton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 w:val="0"/>
                <w:sz w:val="16"/>
              </w:rPr>
              <w:t>v0.13.1</w:t>
            </w:r>
          </w:p>
        </w:tc>
        <w:tc>
          <w:tcPr>
            <w:tcW w:type="dxa" w:w="8352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 w:val="0"/>
                <w:sz w:val="16"/>
              </w:rPr>
              <w:t>TradePlan staging dry run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 w:val="0"/>
                <w:sz w:val="16"/>
              </w:rPr>
              <w:t>v0.14.0</w:t>
            </w:r>
          </w:p>
        </w:tc>
        <w:tc>
          <w:tcPr>
            <w:tcW w:type="dxa" w:w="8352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 w:val="0"/>
                <w:sz w:val="16"/>
              </w:rPr>
              <w:t>Shadow lifecycle simulation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 w:val="0"/>
                <w:sz w:val="16"/>
              </w:rPr>
              <w:t>v0.15.0</w:t>
            </w:r>
          </w:p>
        </w:tc>
        <w:tc>
          <w:tcPr>
            <w:tcW w:type="dxa" w:w="8352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 w:val="0"/>
                <w:sz w:val="16"/>
              </w:rPr>
              <w:t>Report calibration + cleanup gate review — LOCKED</w:t>
            </w:r>
          </w:p>
        </w:tc>
      </w:tr>
    </w:tbl>
    <w:p>
      <w:pPr>
        <w:pStyle w:val="Heading1"/>
        <w:jc w:val="right"/>
        <w:bidi/>
      </w:pPr>
      <w:r>
        <w:rPr>
          <w:rFonts w:ascii="Arial" w:hAnsi="Arial" w:cs="Arial"/>
          <w:b/>
          <w:sz w:val="28"/>
        </w:rPr>
        <w:t>9) المشاكل المعروفة</w:t>
      </w:r>
    </w:p>
    <w:p>
      <w:pPr>
        <w:jc w:val="right"/>
        <w:bidi/>
      </w:pPr>
      <w:r>
        <w:rPr>
          <w:rFonts w:ascii="Arial" w:hAnsi="Arial" w:cs="Arial"/>
          <w:b w:val="0"/>
          <w:sz w:val="20"/>
        </w:rPr>
        <w:t>• لا يوجد اختبار runtime على MT5 للتقارير حتى الآن؛ Compile فقط هو المثبت في كل إصدار.</w:t>
      </w:r>
    </w:p>
    <w:p>
      <w:pPr>
        <w:jc w:val="right"/>
        <w:bidi/>
      </w:pPr>
      <w:r>
        <w:rPr>
          <w:rFonts w:ascii="Arial" w:hAnsi="Arial" w:cs="Arial"/>
          <w:b w:val="0"/>
          <w:sz w:val="20"/>
        </w:rPr>
        <w:t>• كثرة diagnostics reports مقبولة مؤقتًا في v0.x لكنها يجب أن تُنظف لاحقًا.</w:t>
      </w:r>
    </w:p>
    <w:p>
      <w:pPr>
        <w:jc w:val="right"/>
        <w:bidi/>
      </w:pPr>
      <w:r>
        <w:rPr>
          <w:rFonts w:ascii="Arial" w:hAnsi="Arial" w:cs="Arial"/>
          <w:b w:val="0"/>
          <w:sz w:val="20"/>
        </w:rPr>
        <w:t>• FVG logic ما زال Phase 1 بسيطًا ولا يحتوي quality filters أو retest scoring متقدم.</w:t>
      </w:r>
    </w:p>
    <w:p>
      <w:pPr>
        <w:jc w:val="right"/>
        <w:bidi/>
      </w:pPr>
      <w:r>
        <w:rPr>
          <w:rFonts w:ascii="Arial" w:hAnsi="Arial" w:cs="Arial"/>
          <w:b w:val="0"/>
          <w:sz w:val="20"/>
        </w:rPr>
        <w:t>• Lifecycle simulation يستخدم TP1/SL/Timeout فقط، ولم يدخل بعد TP2/TP3/Runner.</w:t>
      </w:r>
    </w:p>
    <w:p>
      <w:pPr>
        <w:jc w:val="right"/>
        <w:bidi/>
      </w:pPr>
      <w:r>
        <w:rPr>
          <w:rFonts w:ascii="Arial" w:hAnsi="Arial" w:cs="Arial"/>
          <w:b w:val="0"/>
          <w:sz w:val="20"/>
        </w:rPr>
        <w:t>• لا يوجد Paper/Demo/Live execution حتى الآن.</w:t>
      </w:r>
    </w:p>
    <w:p>
      <w:pPr>
        <w:pStyle w:val="Heading1"/>
        <w:jc w:val="right"/>
        <w:bidi/>
      </w:pPr>
      <w:r>
        <w:rPr>
          <w:rFonts w:ascii="Arial" w:hAnsi="Arial" w:cs="Arial"/>
          <w:b/>
          <w:sz w:val="28"/>
        </w:rPr>
        <w:t>10) ملخص مرحلي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880"/>
            <w:vAlign w:val="center"/>
            <w:shd w:fill="D9EAF7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/>
                <w:sz w:val="16"/>
              </w:rPr>
              <w:t>المجال</w:t>
            </w:r>
          </w:p>
        </w:tc>
        <w:tc>
          <w:tcPr>
            <w:tcW w:type="dxa" w:w="7200"/>
            <w:vAlign w:val="center"/>
            <w:shd w:fill="D9EAF7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/>
                <w:sz w:val="16"/>
              </w:rPr>
              <w:t>الخلاصة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 w:val="0"/>
                <w:sz w:val="16"/>
              </w:rPr>
              <w:t>Core</w:t>
            </w:r>
          </w:p>
        </w:tc>
        <w:tc>
          <w:tcPr>
            <w:tcW w:type="dxa" w:w="7200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 w:val="0"/>
                <w:sz w:val="16"/>
              </w:rPr>
              <w:t>مستقر حتى v0.15.0 Locked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 w:val="0"/>
                <w:sz w:val="16"/>
              </w:rPr>
              <w:t>Safety</w:t>
            </w:r>
          </w:p>
        </w:tc>
        <w:tc>
          <w:tcPr>
            <w:tcW w:type="dxa" w:w="7200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 w:val="0"/>
                <w:sz w:val="16"/>
              </w:rPr>
              <w:t>No OrderSend + No-Lookahead Guard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 w:val="0"/>
                <w:sz w:val="16"/>
              </w:rPr>
              <w:t>Strategy</w:t>
            </w:r>
          </w:p>
        </w:tc>
        <w:tc>
          <w:tcPr>
            <w:tcW w:type="dxa" w:w="7200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 w:val="0"/>
                <w:sz w:val="16"/>
              </w:rPr>
              <w:t>FVG Micro فقط قيد البناء Shadow research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 w:val="0"/>
                <w:sz w:val="16"/>
              </w:rPr>
              <w:t>Reports</w:t>
            </w:r>
          </w:p>
        </w:tc>
        <w:tc>
          <w:tcPr>
            <w:tcW w:type="dxa" w:w="7200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 w:val="0"/>
                <w:sz w:val="16"/>
              </w:rPr>
              <w:t>TradeLifecycle + Summary + Diagnostics + Calibration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 w:val="0"/>
                <w:sz w:val="16"/>
              </w:rPr>
              <w:t>Cleanup</w:t>
            </w:r>
          </w:p>
        </w:tc>
        <w:tc>
          <w:tcPr>
            <w:tcW w:type="dxa" w:w="7200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 w:val="0"/>
                <w:sz w:val="16"/>
              </w:rPr>
              <w:t>قاعدة تنظيف التشخيصات أصبحت إلزامية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 w:val="0"/>
                <w:sz w:val="16"/>
              </w:rPr>
              <w:t>Next</w:t>
            </w:r>
          </w:p>
        </w:tc>
        <w:tc>
          <w:tcPr>
            <w:tcW w:type="dxa" w:w="7200"/>
            <w:vAlign w:val="center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b w:val="0"/>
                <w:sz w:val="16"/>
              </w:rPr>
              <w:t>v0.16.0 — Shadow Report Runtime Verification / أو الخطوة التي يحددها المستخدم</w:t>
            </w:r>
          </w:p>
        </w:tc>
      </w:tr>
    </w:tbl>
    <w:p>
      <w:pPr>
        <w:pStyle w:val="Heading1"/>
        <w:jc w:val="right"/>
        <w:bidi/>
      </w:pPr>
      <w:r>
        <w:rPr>
          <w:rFonts w:ascii="Arial" w:hAnsi="Arial" w:cs="Arial"/>
          <w:b/>
          <w:sz w:val="28"/>
        </w:rPr>
        <w:t>11) المهمة التالية</w:t>
      </w:r>
    </w:p>
    <w:p>
      <w:pPr>
        <w:jc w:val="right"/>
        <w:bidi/>
      </w:pPr>
      <w:r>
        <w:rPr>
          <w:rFonts w:ascii="Arial" w:hAnsi="Arial" w:cs="Arial"/>
          <w:b/>
          <w:sz w:val="20"/>
        </w:rPr>
        <w:t>ابدأ أي جلسة جديدة بإرسال هذا الملف أولًا، ثم اطلب المهمة. الخطوة التالية المقترحة هي v0.16.0 لمراجعة Runtime Reports على الشارت أو توسيع Lifecycle إلى TP2/TP3 حسب قرارنا القادم.</w:t>
      </w:r>
    </w:p>
    <w:sectPr w:rsidR="00FC693F" w:rsidRPr="0006063C" w:rsidSect="00034616"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