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JA FalconCore Automated Trading Platform</w:t>
      </w:r>
    </w:p>
    <w:p>
      <w:pPr>
        <w:pStyle w:val="Heading2"/>
        <w:jc w:val="left"/>
      </w:pPr>
      <w:r>
        <w:t>Project Memory — v0.29.8</w:t>
      </w:r>
    </w:p>
    <w:p>
      <w:pPr>
        <w:pStyle w:val="Heading2"/>
        <w:jc w:val="left"/>
      </w:pPr>
      <w:r>
        <w:t>1. Version Status</w:t>
      </w:r>
    </w:p>
    <w:tbl>
      <w:tblPr>
        <w:tblStyle w:val="TableGrid"/>
        <w:tblW w:type="auto" w:w="0"/>
        <w:jc w:val="center"/>
        <w:tblLook w:firstColumn="1" w:firstRow="1" w:lastColumn="0" w:lastRow="0" w:noHBand="0" w:noVBand="1" w:val="04A0"/>
      </w:tblPr>
      <w:tblGrid>
        <w:gridCol w:w="5328"/>
        <w:gridCol w:w="5328"/>
      </w:tblGrid>
      <w:tr>
        <w:tc>
          <w:tcPr>
            <w:tcW w:type="dxa" w:w="5328"/>
          </w:tcPr>
          <w:p>
            <w:r>
              <w:rPr>
                <w:rFonts w:ascii="Arial" w:hAnsi="Arial"/>
                <w:sz w:val="16"/>
              </w:rPr>
              <w:t>Field</w:t>
            </w:r>
          </w:p>
        </w:tc>
        <w:tc>
          <w:tcPr>
            <w:tcW w:type="dxa" w:w="5328"/>
          </w:tcPr>
          <w:p>
            <w:r>
              <w:rPr>
                <w:rFonts w:ascii="Arial" w:hAnsi="Arial"/>
                <w:sz w:val="16"/>
              </w:rPr>
              <w:t>Value</w:t>
            </w:r>
          </w:p>
        </w:tc>
      </w:tr>
      <w:tr>
        <w:tc>
          <w:tcPr>
            <w:tcW w:type="dxa" w:w="5328"/>
          </w:tcPr>
          <w:p>
            <w:r>
              <w:rPr>
                <w:rFonts w:ascii="Arial" w:hAnsi="Arial"/>
                <w:sz w:val="16"/>
              </w:rPr>
              <w:t>Current Version</w:t>
            </w:r>
          </w:p>
        </w:tc>
        <w:tc>
          <w:tcPr>
            <w:tcW w:type="dxa" w:w="5328"/>
          </w:tcPr>
          <w:p>
            <w:r>
              <w:rPr>
                <w:rFonts w:ascii="Arial" w:hAnsi="Arial"/>
                <w:sz w:val="16"/>
              </w:rPr>
              <w:t>v0.29.8</w:t>
            </w:r>
          </w:p>
        </w:tc>
      </w:tr>
      <w:tr>
        <w:tc>
          <w:tcPr>
            <w:tcW w:type="dxa" w:w="5328"/>
          </w:tcPr>
          <w:p>
            <w:r>
              <w:rPr>
                <w:rFonts w:ascii="Arial" w:hAnsi="Arial"/>
                <w:sz w:val="16"/>
              </w:rPr>
              <w:t>Build Tag</w:t>
            </w:r>
          </w:p>
        </w:tc>
        <w:tc>
          <w:tcPr>
            <w:tcW w:type="dxa" w:w="5328"/>
          </w:tcPr>
          <w:p>
            <w:r>
              <w:rPr>
                <w:rFonts w:ascii="Arial" w:hAnsi="Arial"/>
                <w:sz w:val="16"/>
              </w:rPr>
              <w:t>DecisionTreeTimingFeasibilityValidationLock_NoExecution</w:t>
            </w:r>
          </w:p>
        </w:tc>
      </w:tr>
      <w:tr>
        <w:tc>
          <w:tcPr>
            <w:tcW w:type="dxa" w:w="5328"/>
          </w:tcPr>
          <w:p>
            <w:r>
              <w:rPr>
                <w:rFonts w:ascii="Arial" w:hAnsi="Arial"/>
                <w:sz w:val="16"/>
              </w:rPr>
              <w:t>Baseline Source</w:t>
            </w:r>
          </w:p>
        </w:tc>
        <w:tc>
          <w:tcPr>
            <w:tcW w:type="dxa" w:w="5328"/>
          </w:tcPr>
          <w:p>
            <w:r>
              <w:rPr>
                <w:rFonts w:ascii="Arial" w:hAnsi="Arial"/>
                <w:sz w:val="16"/>
              </w:rPr>
              <w:t>v0.29.7 — Decision Tree Execution-Feasibility Timing Diagnostics</w:t>
            </w:r>
          </w:p>
        </w:tc>
      </w:tr>
      <w:tr>
        <w:tc>
          <w:tcPr>
            <w:tcW w:type="dxa" w:w="5328"/>
          </w:tcPr>
          <w:p>
            <w:r>
              <w:rPr>
                <w:rFonts w:ascii="Arial" w:hAnsi="Arial"/>
                <w:sz w:val="16"/>
              </w:rPr>
              <w:t>Compile Target</w:t>
            </w:r>
          </w:p>
        </w:tc>
        <w:tc>
          <w:tcPr>
            <w:tcW w:type="dxa" w:w="5328"/>
          </w:tcPr>
          <w:p>
            <w:r>
              <w:rPr>
                <w:rFonts w:ascii="Arial" w:hAnsi="Arial"/>
                <w:sz w:val="16"/>
              </w:rPr>
              <w:t>0 errors, 0 warnings</w:t>
            </w:r>
          </w:p>
        </w:tc>
      </w:tr>
      <w:tr>
        <w:tc>
          <w:tcPr>
            <w:tcW w:type="dxa" w:w="5328"/>
          </w:tcPr>
          <w:p>
            <w:r>
              <w:rPr>
                <w:rFonts w:ascii="Arial" w:hAnsi="Arial"/>
                <w:sz w:val="16"/>
              </w:rPr>
              <w:t>Execution Status</w:t>
            </w:r>
          </w:p>
        </w:tc>
        <w:tc>
          <w:tcPr>
            <w:tcW w:type="dxa" w:w="5328"/>
          </w:tcPr>
          <w:p>
            <w:r>
              <w:rPr>
                <w:rFonts w:ascii="Arial" w:hAnsi="Arial"/>
                <w:sz w:val="16"/>
              </w:rPr>
              <w:t>No OrderSend / No Paper / No Demo / No Live</w:t>
            </w:r>
          </w:p>
        </w:tc>
      </w:tr>
      <w:tr>
        <w:tc>
          <w:tcPr>
            <w:tcW w:type="dxa" w:w="5328"/>
          </w:tcPr>
          <w:p>
            <w:r>
              <w:rPr>
                <w:rFonts w:ascii="Arial" w:hAnsi="Arial"/>
                <w:sz w:val="16"/>
              </w:rPr>
              <w:t>Trading Logic Change</w:t>
            </w:r>
          </w:p>
        </w:tc>
        <w:tc>
          <w:tcPr>
            <w:tcW w:type="dxa" w:w="5328"/>
          </w:tcPr>
          <w:p>
            <w:r>
              <w:rPr>
                <w:rFonts w:ascii="Arial" w:hAnsi="Arial"/>
                <w:sz w:val="16"/>
              </w:rPr>
              <w:t>NO</w:t>
            </w:r>
          </w:p>
        </w:tc>
      </w:tr>
      <w:tr>
        <w:tc>
          <w:tcPr>
            <w:tcW w:type="dxa" w:w="5328"/>
          </w:tcPr>
          <w:p>
            <w:r>
              <w:rPr>
                <w:rFonts w:ascii="Arial" w:hAnsi="Arial"/>
                <w:sz w:val="16"/>
              </w:rPr>
              <w:t>Runtime Protection / Runner</w:t>
            </w:r>
          </w:p>
        </w:tc>
        <w:tc>
          <w:tcPr>
            <w:tcW w:type="dxa" w:w="5328"/>
          </w:tcPr>
          <w:p>
            <w:r>
              <w:rPr>
                <w:rFonts w:ascii="Arial" w:hAnsi="Arial"/>
                <w:sz w:val="16"/>
              </w:rPr>
              <w:t>NO — diagnostics lock only</w:t>
            </w:r>
          </w:p>
        </w:tc>
      </w:tr>
    </w:tbl>
    <w:p>
      <w:pPr>
        <w:pStyle w:val="Heading2"/>
        <w:jc w:val="left"/>
      </w:pPr>
      <w:r>
        <w:t>2. Goal of this release</w:t>
      </w:r>
    </w:p>
    <w:p>
      <w:pPr>
        <w:spacing w:after="60"/>
      </w:pPr>
      <w:r>
        <w:t>Lock the Decision Tree Execution-Feasibility Timing Diagnostics after full validation across April, March, February OOS, and January OOS. This release does not activate protection, runner, partials, adaptive ratchet, early failure exit, OrderSend, Paper, Demo, or Live behavior.</w:t>
      </w:r>
    </w:p>
    <w:p>
      <w:pPr>
        <w:pStyle w:val="Heading2"/>
        <w:jc w:val="left"/>
      </w:pPr>
      <w:r>
        <w:t>3. What was proven before this lock</w:t>
      </w:r>
    </w:p>
    <w:p>
      <w:pPr>
        <w:spacing w:after="60"/>
      </w:pPr>
      <w:r>
        <w:t>• v0.29.7 kept financial results unchanged while adding execution-feasibility timing diagnostics.</w:t>
      </w:r>
    </w:p>
    <w:p>
      <w:pPr>
        <w:spacing w:after="60"/>
      </w:pPr>
      <w:r>
        <w:t>• Decision cache readiness was available for all evaluated trades.</w:t>
      </w:r>
    </w:p>
    <w:p>
      <w:pPr>
        <w:spacing w:after="60"/>
      </w:pPr>
      <w:r>
        <w:t>• TP1 and TP2 decisions were precomputed as diagnostic/proxy branches.</w:t>
      </w:r>
    </w:p>
    <w:p>
      <w:pPr>
        <w:spacing w:after="60"/>
      </w:pPr>
      <w:r>
        <w:t>• Protection and runner feasibility were marked as proxy / precomputed / no-lookahead diagnostics.</w:t>
      </w:r>
    </w:p>
    <w:p>
      <w:pPr>
        <w:spacing w:after="60"/>
      </w:pPr>
      <w:r>
        <w:t>• Runtime protection and runtime runner remain explicitly disabled.</w:t>
      </w:r>
    </w:p>
    <w:p>
      <w:pPr>
        <w:pStyle w:val="Heading2"/>
        <w:jc w:val="left"/>
      </w:pPr>
      <w:r>
        <w:t>4. Official fix / lock in v0.29.8</w:t>
      </w:r>
    </w:p>
    <w:p>
      <w:pPr>
        <w:spacing w:after="60"/>
      </w:pPr>
      <w:r>
        <w:t>• Changed FalconDTTimingStatus to DECISION_TREE_TIMING_FEASIBILITY_VALIDATION_LOCK.</w:t>
      </w:r>
    </w:p>
    <w:p>
      <w:pPr>
        <w:spacing w:after="60"/>
      </w:pPr>
      <w:r>
        <w:t>• Changed FalconDTTimingDecision to TIMING_FEASIBILITY_FULL_VALIDATION_LOCKED_NO_RUNTIME_ACTIONS.</w:t>
      </w:r>
    </w:p>
    <w:p>
      <w:pPr>
        <w:spacing w:after="60"/>
      </w:pPr>
      <w:r>
        <w:t>• Changed FalconDTTimingPolicy to PRECOMPUTED_DECISION_CACHE_LOCKED_PROXY_ONLY_NO_RUNTIME.</w:t>
      </w:r>
    </w:p>
    <w:p>
      <w:pPr>
        <w:spacing w:after="60"/>
      </w:pPr>
      <w:r>
        <w:t>• Changed next phase to v0.30.0_PaperExecutionReadinessOrderLifecycleFoundation.</w:t>
      </w:r>
    </w:p>
    <w:p>
      <w:pPr>
        <w:spacing w:after="60"/>
      </w:pPr>
      <w:r>
        <w:t>• No trading behavior, exit behavior, SL/TP behavior, or report file profile changed.</w:t>
      </w:r>
    </w:p>
    <w:p>
      <w:pPr>
        <w:pStyle w:val="Heading2"/>
        <w:jc w:val="left"/>
      </w:pPr>
      <w:r>
        <w:t>5. Expected validation</w:t>
      </w:r>
    </w:p>
    <w:tbl>
      <w:tblPr>
        <w:tblStyle w:val="TableGrid"/>
        <w:tblW w:type="auto" w:w="0"/>
        <w:jc w:val="center"/>
        <w:tblLook w:firstColumn="1" w:firstRow="1" w:lastColumn="0" w:lastRow="0" w:noHBand="0" w:noVBand="1" w:val="04A0"/>
      </w:tblPr>
      <w:tblGrid>
        <w:gridCol w:w="5328"/>
        <w:gridCol w:w="5328"/>
      </w:tblGrid>
      <w:tr>
        <w:tc>
          <w:tcPr>
            <w:tcW w:type="dxa" w:w="5328"/>
          </w:tcPr>
          <w:p>
            <w:r>
              <w:rPr>
                <w:rFonts w:ascii="Arial" w:hAnsi="Arial"/>
                <w:sz w:val="16"/>
              </w:rPr>
              <w:t>Field</w:t>
            </w:r>
          </w:p>
        </w:tc>
        <w:tc>
          <w:tcPr>
            <w:tcW w:type="dxa" w:w="5328"/>
          </w:tcPr>
          <w:p>
            <w:r>
              <w:rPr>
                <w:rFonts w:ascii="Arial" w:hAnsi="Arial"/>
                <w:sz w:val="16"/>
              </w:rPr>
              <w:t>Value</w:t>
            </w:r>
          </w:p>
        </w:tc>
      </w:tr>
      <w:tr>
        <w:tc>
          <w:tcPr>
            <w:tcW w:type="dxa" w:w="5328"/>
          </w:tcPr>
          <w:p>
            <w:r>
              <w:rPr>
                <w:rFonts w:ascii="Arial" w:hAnsi="Arial"/>
                <w:sz w:val="16"/>
              </w:rPr>
              <w:t>Smoke Period</w:t>
            </w:r>
          </w:p>
        </w:tc>
        <w:tc>
          <w:tcPr>
            <w:tcW w:type="dxa" w:w="5328"/>
          </w:tcPr>
          <w:p>
            <w:r>
              <w:rPr>
                <w:rFonts w:ascii="Arial" w:hAnsi="Arial"/>
                <w:sz w:val="16"/>
              </w:rPr>
              <w:t>2026-04-01 to 2026-04-03</w:t>
            </w:r>
          </w:p>
        </w:tc>
      </w:tr>
      <w:tr>
        <w:tc>
          <w:tcPr>
            <w:tcW w:type="dxa" w:w="5328"/>
          </w:tcPr>
          <w:p>
            <w:r>
              <w:rPr>
                <w:rFonts w:ascii="Arial" w:hAnsi="Arial"/>
                <w:sz w:val="16"/>
              </w:rPr>
              <w:t>Expected TotalTrades</w:t>
            </w:r>
          </w:p>
        </w:tc>
        <w:tc>
          <w:tcPr>
            <w:tcW w:type="dxa" w:w="5328"/>
          </w:tcPr>
          <w:p>
            <w:r>
              <w:rPr>
                <w:rFonts w:ascii="Arial" w:hAnsi="Arial"/>
                <w:sz w:val="16"/>
              </w:rPr>
              <w:t>57</w:t>
            </w:r>
          </w:p>
        </w:tc>
      </w:tr>
      <w:tr>
        <w:tc>
          <w:tcPr>
            <w:tcW w:type="dxa" w:w="5328"/>
          </w:tcPr>
          <w:p>
            <w:r>
              <w:rPr>
                <w:rFonts w:ascii="Arial" w:hAnsi="Arial"/>
                <w:sz w:val="16"/>
              </w:rPr>
              <w:t>Expected WinRate</w:t>
            </w:r>
          </w:p>
        </w:tc>
        <w:tc>
          <w:tcPr>
            <w:tcW w:type="dxa" w:w="5328"/>
          </w:tcPr>
          <w:p>
            <w:r>
              <w:rPr>
                <w:rFonts w:ascii="Arial" w:hAnsi="Arial"/>
                <w:sz w:val="16"/>
              </w:rPr>
              <w:t>75.44%</w:t>
            </w:r>
          </w:p>
        </w:tc>
      </w:tr>
      <w:tr>
        <w:tc>
          <w:tcPr>
            <w:tcW w:type="dxa" w:w="5328"/>
          </w:tcPr>
          <w:p>
            <w:r>
              <w:rPr>
                <w:rFonts w:ascii="Arial" w:hAnsi="Arial"/>
                <w:sz w:val="16"/>
              </w:rPr>
              <w:t>Expected NetIndexPoints</w:t>
            </w:r>
          </w:p>
        </w:tc>
        <w:tc>
          <w:tcPr>
            <w:tcW w:type="dxa" w:w="5328"/>
          </w:tcPr>
          <w:p>
            <w:r>
              <w:rPr>
                <w:rFonts w:ascii="Arial" w:hAnsi="Arial"/>
                <w:sz w:val="16"/>
              </w:rPr>
              <w:t>+470.51</w:t>
            </w:r>
          </w:p>
        </w:tc>
      </w:tr>
      <w:tr>
        <w:tc>
          <w:tcPr>
            <w:tcW w:type="dxa" w:w="5328"/>
          </w:tcPr>
          <w:p>
            <w:r>
              <w:rPr>
                <w:rFonts w:ascii="Arial" w:hAnsi="Arial"/>
                <w:sz w:val="16"/>
              </w:rPr>
              <w:t>Expected TotalProfitUSD</w:t>
            </w:r>
          </w:p>
        </w:tc>
        <w:tc>
          <w:tcPr>
            <w:tcW w:type="dxa" w:w="5328"/>
          </w:tcPr>
          <w:p>
            <w:r>
              <w:rPr>
                <w:rFonts w:ascii="Arial" w:hAnsi="Arial"/>
                <w:sz w:val="16"/>
              </w:rPr>
              <w:t>+135.07</w:t>
            </w:r>
          </w:p>
        </w:tc>
      </w:tr>
      <w:tr>
        <w:tc>
          <w:tcPr>
            <w:tcW w:type="dxa" w:w="5328"/>
          </w:tcPr>
          <w:p>
            <w:r>
              <w:rPr>
                <w:rFonts w:ascii="Arial" w:hAnsi="Arial"/>
                <w:sz w:val="16"/>
              </w:rPr>
              <w:t>Expected TotalLossUSD / Total Lose USD</w:t>
            </w:r>
          </w:p>
        </w:tc>
        <w:tc>
          <w:tcPr>
            <w:tcW w:type="dxa" w:w="5328"/>
          </w:tcPr>
          <w:p>
            <w:r>
              <w:rPr>
                <w:rFonts w:ascii="Arial" w:hAnsi="Arial"/>
                <w:sz w:val="16"/>
              </w:rPr>
              <w:t>40.97</w:t>
            </w:r>
          </w:p>
        </w:tc>
      </w:tr>
      <w:tr>
        <w:tc>
          <w:tcPr>
            <w:tcW w:type="dxa" w:w="5328"/>
          </w:tcPr>
          <w:p>
            <w:r>
              <w:rPr>
                <w:rFonts w:ascii="Arial" w:hAnsi="Arial"/>
                <w:sz w:val="16"/>
              </w:rPr>
              <w:t>Expected NetUSD</w:t>
            </w:r>
          </w:p>
        </w:tc>
        <w:tc>
          <w:tcPr>
            <w:tcW w:type="dxa" w:w="5328"/>
          </w:tcPr>
          <w:p>
            <w:r>
              <w:rPr>
                <w:rFonts w:ascii="Arial" w:hAnsi="Arial"/>
                <w:sz w:val="16"/>
              </w:rPr>
              <w:t>+94.10</w:t>
            </w:r>
          </w:p>
        </w:tc>
      </w:tr>
      <w:tr>
        <w:tc>
          <w:tcPr>
            <w:tcW w:type="dxa" w:w="5328"/>
          </w:tcPr>
          <w:p>
            <w:r>
              <w:rPr>
                <w:rFonts w:ascii="Arial" w:hAnsi="Arial"/>
                <w:sz w:val="16"/>
              </w:rPr>
              <w:t>Expected FalconDTTimingStatus</w:t>
            </w:r>
          </w:p>
        </w:tc>
        <w:tc>
          <w:tcPr>
            <w:tcW w:type="dxa" w:w="5328"/>
          </w:tcPr>
          <w:p>
            <w:r>
              <w:rPr>
                <w:rFonts w:ascii="Arial" w:hAnsi="Arial"/>
                <w:sz w:val="16"/>
              </w:rPr>
              <w:t>DECISION_TREE_TIMING_FEASIBILITY_VALIDATION_LOCK</w:t>
            </w:r>
          </w:p>
        </w:tc>
      </w:tr>
      <w:tr>
        <w:tc>
          <w:tcPr>
            <w:tcW w:type="dxa" w:w="5328"/>
          </w:tcPr>
          <w:p>
            <w:r>
              <w:rPr>
                <w:rFonts w:ascii="Arial" w:hAnsi="Arial"/>
                <w:sz w:val="16"/>
              </w:rPr>
              <w:t>Expected FalconDTTimingRuntimeEnforced</w:t>
            </w:r>
          </w:p>
        </w:tc>
        <w:tc>
          <w:tcPr>
            <w:tcW w:type="dxa" w:w="5328"/>
          </w:tcPr>
          <w:p>
            <w:r>
              <w:rPr>
                <w:rFonts w:ascii="Arial" w:hAnsi="Arial"/>
                <w:sz w:val="16"/>
              </w:rPr>
              <w:t>NO</w:t>
            </w:r>
          </w:p>
        </w:tc>
      </w:tr>
    </w:tbl>
    <w:p>
      <w:pPr>
        <w:pStyle w:val="Heading2"/>
        <w:jc w:val="left"/>
      </w:pPr>
      <w:r>
        <w:t>6. Architecture / Active layers</w:t>
      </w:r>
    </w:p>
    <w:p>
      <w:pPr>
        <w:spacing w:after="60"/>
      </w:pPr>
      <w:r>
        <w:t>• Active strategy: FVG_MICRO_RETEST only.</w:t>
      </w:r>
    </w:p>
    <w:p>
      <w:pPr>
        <w:spacing w:after="60"/>
      </w:pPr>
      <w:r>
        <w:t>• FVG SIZE250 actual blocking remains active only inside Shadow lifecycle.</w:t>
      </w:r>
    </w:p>
    <w:p>
      <w:pPr>
        <w:spacing w:after="60"/>
      </w:pPr>
      <w:r>
        <w:t>• Risk foundation and Pre-Execution Gate are locked as readiness/design layers.</w:t>
      </w:r>
    </w:p>
    <w:p>
      <w:pPr>
        <w:spacing w:after="60"/>
      </w:pPr>
      <w:r>
        <w:t>• TradeManagement Foundation and SL/TP validation are locked as readiness/validation layers.</w:t>
      </w:r>
    </w:p>
    <w:p>
      <w:pPr>
        <w:spacing w:after="60"/>
      </w:pPr>
      <w:r>
        <w:t>• Smart TM, Runner diagnostics, Decision Tree, and Timing Feasibility are diagnostic/reporting layers only.</w:t>
      </w:r>
    </w:p>
    <w:p>
      <w:pPr>
        <w:pStyle w:val="Heading2"/>
        <w:jc w:val="left"/>
      </w:pPr>
      <w:r>
        <w:t>7. Standing rules and commitment to plan</w:t>
      </w:r>
    </w:p>
    <w:p>
      <w:pPr>
        <w:spacing w:after="60"/>
      </w:pPr>
      <w:r>
        <w:t>• No OrderSend inside any Strategy Engine.</w:t>
      </w:r>
    </w:p>
    <w:p>
      <w:pPr>
        <w:spacing w:after="60"/>
      </w:pPr>
      <w:r>
        <w:t>• Shadow first: no Strategy or Engine enters Runtime/Live directly.</w:t>
      </w:r>
    </w:p>
    <w:p>
      <w:pPr>
        <w:spacing w:after="60"/>
      </w:pPr>
      <w:r>
        <w:t>• No lookahead and no final-state dependency.</w:t>
      </w:r>
    </w:p>
    <w:p>
      <w:pPr>
        <w:spacing w:after="60"/>
      </w:pPr>
      <w:r>
        <w:t>• No early Break-Even; protection only when earned.</w:t>
      </w:r>
    </w:p>
    <w:p>
      <w:pPr>
        <w:spacing w:after="60"/>
      </w:pPr>
      <w:r>
        <w:t>• Structural SL remains mandatory before any future execution phase.</w:t>
      </w:r>
    </w:p>
    <w:p>
      <w:pPr>
        <w:spacing w:after="60"/>
      </w:pPr>
      <w:r>
        <w:t>• Expand only on proof; runner only after proof.</w:t>
      </w:r>
    </w:p>
    <w:p>
      <w:pPr>
        <w:spacing w:after="60"/>
      </w:pPr>
      <w:r>
        <w:t>• Pattern and SMC remain evidence, not permission.</w:t>
      </w:r>
    </w:p>
    <w:p>
      <w:pPr>
        <w:spacing w:after="60"/>
      </w:pPr>
      <w:r>
        <w:t>• Diagnostics are temporary; Lock versions must keep only stable official fields.</w:t>
      </w:r>
    </w:p>
    <w:p>
      <w:pPr>
        <w:spacing w:after="60"/>
      </w:pPr>
      <w:r>
        <w:t>• Inputs must remain simple for the normal user; complex thresholds stay internal/profile-based.</w:t>
      </w:r>
    </w:p>
    <w:p>
      <w:pPr>
        <w:spacing w:after="60"/>
      </w:pPr>
      <w:r>
        <w:t>• Each release must update Project Memory before moving to the next task.</w:t>
      </w:r>
    </w:p>
    <w:p>
      <w:pPr>
        <w:pStyle w:val="Heading2"/>
        <w:jc w:val="left"/>
      </w:pPr>
      <w:r>
        <w:t>8. Known limitations</w:t>
      </w:r>
    </w:p>
    <w:p>
      <w:pPr>
        <w:spacing w:after="60"/>
      </w:pPr>
      <w:r>
        <w:t>• Timing feasibility is still proxy-based and not broker-execution proof.</w:t>
      </w:r>
    </w:p>
    <w:p>
      <w:pPr>
        <w:spacing w:after="60"/>
      </w:pPr>
      <w:r>
        <w:t>• Paper/Demo execution must later verify order lifecycle, modification timing, slippage, fill behavior, and rejected-order handling.</w:t>
      </w:r>
    </w:p>
    <w:p>
      <w:pPr>
        <w:spacing w:after="60"/>
      </w:pPr>
      <w:r>
        <w:t>• Runtime protection, runner activation, partials, adaptive ratchet, and early failure exit are still not active.</w:t>
      </w:r>
    </w:p>
    <w:p>
      <w:pPr>
        <w:pStyle w:val="Heading2"/>
        <w:jc w:val="left"/>
      </w:pPr>
      <w:r>
        <w:t>9. Next task</w:t>
      </w:r>
    </w:p>
    <w:p>
      <w:pPr>
        <w:spacing w:after="60"/>
      </w:pPr>
      <w:r>
        <w:t>Next official phase: v0.30.0 — Paper Execution Readiness / Order Lifecycle Foundation. The goal is to design order lifecycle readiness before Paper/Demo/Live: planned order, staged order, SL/TP plan, modification request, rejection reason, and execution audit fields. No real OrderSend yet.</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