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JA FalconCore Automated Trading Platform</w:t>
        <w:br/>
        <w:t>Project Memory — v0.31.1</w:t>
      </w:r>
    </w:p>
    <w:p>
      <w:pPr>
        <w:jc w:val="center"/>
      </w:pPr>
      <w:r>
        <w:rPr>
          <w:b/>
        </w:rPr>
        <w:t>Paper Order Lifecycle Simulation Validation Lock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5328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>
              <w:t>Current Version</w:t>
            </w:r>
          </w:p>
        </w:tc>
        <w:tc>
          <w:tcPr>
            <w:tcW w:type="dxa" w:w="5328"/>
            <w:vAlign w:val="center"/>
          </w:tcPr>
          <w:p>
            <w:r>
              <w:t>v0.31.1</w:t>
            </w:r>
          </w:p>
        </w:tc>
      </w:tr>
      <w:tr>
        <w:tc>
          <w:tcPr>
            <w:tcW w:type="dxa" w:w="5328"/>
            <w:vAlign w:val="center"/>
          </w:tcPr>
          <w:p>
            <w:r>
              <w:t>Build Tag</w:t>
            </w:r>
          </w:p>
        </w:tc>
        <w:tc>
          <w:tcPr>
            <w:tcW w:type="dxa" w:w="5328"/>
            <w:vAlign w:val="center"/>
          </w:tcPr>
          <w:p>
            <w:r>
              <w:t>PaperOrderLifecycleSimulationValidationLock_NoExecution</w:t>
            </w:r>
          </w:p>
        </w:tc>
      </w:tr>
      <w:tr>
        <w:tc>
          <w:tcPr>
            <w:tcW w:type="dxa" w:w="5328"/>
            <w:vAlign w:val="center"/>
          </w:tcPr>
          <w:p>
            <w:r>
              <w:t>Baseline Source</w:t>
            </w:r>
          </w:p>
        </w:tc>
        <w:tc>
          <w:tcPr>
            <w:tcW w:type="dxa" w:w="5328"/>
            <w:vAlign w:val="center"/>
          </w:tcPr>
          <w:p>
            <w:r>
              <w:t>v0.31.0</w:t>
            </w:r>
          </w:p>
        </w:tc>
      </w:tr>
      <w:tr>
        <w:tc>
          <w:tcPr>
            <w:tcW w:type="dxa" w:w="5328"/>
            <w:vAlign w:val="center"/>
          </w:tcPr>
          <w:p>
            <w:r>
              <w:t>Compile Target</w:t>
            </w:r>
          </w:p>
        </w:tc>
        <w:tc>
          <w:tcPr>
            <w:tcW w:type="dxa" w:w="5328"/>
            <w:vAlign w:val="center"/>
          </w:tcPr>
          <w:p>
            <w: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r>
              <w:t>Execution Status</w:t>
            </w:r>
          </w:p>
        </w:tc>
        <w:tc>
          <w:tcPr>
            <w:tcW w:type="dxa" w:w="5328"/>
            <w:vAlign w:val="center"/>
          </w:tcPr>
          <w:p>
            <w:r>
              <w:t>No OrderSend / No broker execution / Internal paper simulation validation lock only</w:t>
            </w:r>
          </w:p>
        </w:tc>
      </w:tr>
      <w:tr>
        <w:tc>
          <w:tcPr>
            <w:tcW w:type="dxa" w:w="5328"/>
            <w:vAlign w:val="center"/>
          </w:tcPr>
          <w:p>
            <w:r>
              <w:t>Trading Logic Change</w:t>
            </w:r>
          </w:p>
        </w:tc>
        <w:tc>
          <w:tcPr>
            <w:tcW w:type="dxa" w:w="5328"/>
            <w:vAlign w:val="center"/>
          </w:tcPr>
          <w:p>
            <w: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>
              <w:t>Paper Fills</w:t>
            </w:r>
          </w:p>
        </w:tc>
        <w:tc>
          <w:tcPr>
            <w:tcW w:type="dxa" w:w="5328"/>
            <w:vAlign w:val="center"/>
          </w:tcPr>
          <w:p>
            <w:r>
              <w:t>Internal simulation locked; no broker orders</w:t>
            </w:r>
          </w:p>
        </w:tc>
      </w:tr>
      <w:tr>
        <w:tc>
          <w:tcPr>
            <w:tcW w:type="dxa" w:w="5328"/>
            <w:vAlign w:val="center"/>
          </w:tcPr>
          <w:p>
            <w:r>
              <w:t>Next Version</w:t>
            </w:r>
          </w:p>
        </w:tc>
        <w:tc>
          <w:tcPr>
            <w:tcW w:type="dxa" w:w="5328"/>
            <w:vAlign w:val="center"/>
          </w:tcPr>
          <w:p>
            <w:r>
              <w:t>v0.32.0 — Paper Partial / Runner Branch Simulation</w:t>
            </w:r>
          </w:p>
        </w:tc>
      </w:tr>
    </w:tbl>
    <w:p>
      <w:pPr>
        <w:pStyle w:val="Heading1"/>
      </w:pPr>
      <w:r>
        <w:t>2. What was proven in v0.31.0 reports</w:t>
      </w:r>
    </w:p>
    <w:p>
      <w:pPr/>
      <w:r>
        <w:t>Paper Order Lifecycle Simulation passed Smoke, April, March, February OOS, and January OOS.</w:t>
      </w:r>
    </w:p>
    <w:p>
      <w:pPr/>
      <w:r>
        <w:t>For every tested period, PaperSimPlannedOrders, StagedOrders, AcceptedOrders, FilledOrders, and ClosedOrders matched TotalTrades.</w:t>
      </w:r>
    </w:p>
    <w:p>
      <w:pPr/>
      <w:r>
        <w:t>PaperSimRejectedOrders = 0 in all validated periods.</w:t>
      </w:r>
    </w:p>
    <w:p>
      <w:pPr/>
      <w:r>
        <w:t>OrderSend remained hard-blocked: OrdersSent = 0, Demo = NO, Live = NO.</w:t>
      </w:r>
    </w:p>
    <w:p>
      <w:pPr/>
      <w:r>
        <w:t>Financial results remained unchanged from the Shadow lifecycle baseline.</w:t>
      </w:r>
    </w:p>
    <w:p>
      <w:pPr/>
      <w:r>
        <w:t>Partial and Runner branch readiness was visible, but not executed: this remains a later Paper branch simulation step.</w:t>
      </w:r>
    </w:p>
    <w:p>
      <w:pPr>
        <w:pStyle w:val="Heading1"/>
      </w:pPr>
      <w:r>
        <w:t>3. Official lock in v0.31.1</w:t>
      </w:r>
    </w:p>
    <w:p>
      <w:r>
        <w:t>• Changed Paper execution status from simulation active to PAPER_ORDER_LIFECYCLE_SIMULATION_VALIDATION_LOCK.</w:t>
      </w:r>
    </w:p>
    <w:p>
      <w:r>
        <w:t>• Changed Paper execution decision to ORDER_LIFECYCLE_READINESS_FULL_VALIDATION_LOCKED_NO_PAPER_FILLS_NO_ORDER_SEND.</w:t>
      </w:r>
    </w:p>
    <w:p>
      <w:r>
        <w:t>• Changed Paper execution mode to PAPER_ORDER_LIFECYCLE_SIMULATION_VALIDATION_LOCK_ONLY.</w:t>
      </w:r>
    </w:p>
    <w:p>
      <w:r>
        <w:t>• Updated next phase to v0.32.0_PaperPartialRunnerBranchSimulation.</w:t>
      </w:r>
    </w:p>
    <w:p>
      <w:r>
        <w:t>• No entry, SL/TP, exit, risk, runner, partial, or broker-execution behavior changed.</w:t>
      </w:r>
    </w:p>
    <w:p>
      <w:pPr>
        <w:pStyle w:val="Heading1"/>
      </w:pPr>
      <w:r>
        <w:t>4. Expected Smoke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5328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>
              <w:t>Test period</w:t>
            </w:r>
          </w:p>
        </w:tc>
        <w:tc>
          <w:tcPr>
            <w:tcW w:type="dxa" w:w="5328"/>
            <w:vAlign w:val="center"/>
          </w:tcPr>
          <w:p>
            <w:r>
              <w:t>2026-04-01 to 2026-04-03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Expected TotalTrades</w:t>
            </w:r>
          </w:p>
        </w:tc>
        <w:tc>
          <w:tcPr>
            <w:tcW w:type="dxa" w:w="5328"/>
            <w:vAlign w:val="center"/>
          </w:tcPr>
          <w:p>
            <w:r>
              <w:t>57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Expected WinRate</w:t>
            </w:r>
          </w:p>
        </w:tc>
        <w:tc>
          <w:tcPr>
            <w:tcW w:type="dxa" w:w="5328"/>
            <w:vAlign w:val="center"/>
          </w:tcPr>
          <w:p>
            <w:r>
              <w:t>75.44%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Expected NetIndexPoints</w:t>
            </w:r>
          </w:p>
        </w:tc>
        <w:tc>
          <w:tcPr>
            <w:tcW w:type="dxa" w:w="5328"/>
            <w:vAlign w:val="center"/>
          </w:tcPr>
          <w:p>
            <w:r>
              <w:t>+470.51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Expected TotalProfitUSD</w:t>
            </w:r>
          </w:p>
        </w:tc>
        <w:tc>
          <w:tcPr>
            <w:tcW w:type="dxa" w:w="5328"/>
            <w:vAlign w:val="center"/>
          </w:tcPr>
          <w:p>
            <w:r>
              <w:t>+135.07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Expected TotalLossUSD / Total Lose USD</w:t>
            </w:r>
          </w:p>
        </w:tc>
        <w:tc>
          <w:tcPr>
            <w:tcW w:type="dxa" w:w="5328"/>
            <w:vAlign w:val="center"/>
          </w:tcPr>
          <w:p>
            <w:r>
              <w:t>40.97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Expected NetUSD</w:t>
            </w:r>
          </w:p>
        </w:tc>
        <w:tc>
          <w:tcPr>
            <w:tcW w:type="dxa" w:w="5328"/>
            <w:vAlign w:val="center"/>
          </w:tcPr>
          <w:p>
            <w:r>
              <w:t>+94.10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Expected Paper Status</w:t>
            </w:r>
          </w:p>
        </w:tc>
        <w:tc>
          <w:tcPr>
            <w:tcW w:type="dxa" w:w="5328"/>
            <w:vAlign w:val="center"/>
          </w:tcPr>
          <w:p>
            <w:r>
              <w:t>PAPER_ORDER_LIFECYCLE_SIMULATION_VALIDATION_LOCK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Expected OrdersSent</w:t>
            </w:r>
          </w:p>
        </w:tc>
        <w:tc>
          <w:tcPr>
            <w:tcW w:type="dxa" w:w="5328"/>
            <w:vAlign w:val="center"/>
          </w:tcPr>
          <w:p>
            <w:r>
              <w:t>0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Expected PaperSimRejectedOrders</w:t>
            </w:r>
          </w:p>
        </w:tc>
        <w:tc>
          <w:tcPr>
            <w:tcW w:type="dxa" w:w="5328"/>
            <w:vAlign w:val="center"/>
          </w:tcPr>
          <w:p>
            <w:r>
              <w:t>0</w:t>
            </w:r>
          </w:p>
        </w:tc>
      </w:tr>
    </w:tbl>
    <w:p>
      <w:pPr>
        <w:pStyle w:val="Heading1"/>
      </w:pPr>
      <w:r>
        <w:t>5. Architecture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5328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>
              <w:t>Active Runtime Candidate Engine</w:t>
            </w:r>
          </w:p>
        </w:tc>
        <w:tc>
          <w:tcPr>
            <w:tcW w:type="dxa" w:w="5328"/>
            <w:vAlign w:val="center"/>
          </w:tcPr>
          <w:p>
            <w:r>
              <w:t>FVG_MICRO_RETEST + SIZE250 Shadow blocking</w:t>
            </w:r>
          </w:p>
        </w:tc>
      </w:tr>
      <w:tr>
        <w:tc>
          <w:tcPr>
            <w:tcW w:type="dxa" w:w="5328"/>
            <w:vAlign w:val="center"/>
          </w:tcPr>
          <w:p>
            <w:r>
              <w:t>Risk Layer</w:t>
            </w:r>
          </w:p>
        </w:tc>
        <w:tc>
          <w:tcPr>
            <w:tcW w:type="dxa" w:w="5328"/>
            <w:vAlign w:val="center"/>
          </w:tcPr>
          <w:p>
            <w:r>
              <w:t>FalconGuard Pre-Execution Gate locked; no live enforcement</w:t>
            </w:r>
          </w:p>
        </w:tc>
      </w:tr>
      <w:tr>
        <w:tc>
          <w:tcPr>
            <w:tcW w:type="dxa" w:w="5328"/>
            <w:vAlign w:val="center"/>
          </w:tcPr>
          <w:p>
            <w:r>
              <w:t>TradeManagement Layer</w:t>
            </w:r>
          </w:p>
        </w:tc>
        <w:tc>
          <w:tcPr>
            <w:tcW w:type="dxa" w:w="5328"/>
            <w:vAlign w:val="center"/>
          </w:tcPr>
          <w:p>
            <w:r>
              <w:t>Foundation + SL/TP Validation locked; no runtime exits</w:t>
            </w:r>
          </w:p>
        </w:tc>
      </w:tr>
      <w:tr>
        <w:tc>
          <w:tcPr>
            <w:tcW w:type="dxa" w:w="5328"/>
            <w:vAlign w:val="center"/>
          </w:tcPr>
          <w:p>
            <w:r>
              <w:t>Decision Tree Timing</w:t>
            </w:r>
          </w:p>
        </w:tc>
        <w:tc>
          <w:tcPr>
            <w:tcW w:type="dxa" w:w="5328"/>
            <w:vAlign w:val="center"/>
          </w:tcPr>
          <w:p>
            <w:r>
              <w:t>Timing feasibility locked as proxy-only, no runtime protection/runner</w:t>
            </w:r>
          </w:p>
        </w:tc>
      </w:tr>
      <w:tr>
        <w:tc>
          <w:tcPr>
            <w:tcW w:type="dxa" w:w="5328"/>
            <w:vAlign w:val="center"/>
          </w:tcPr>
          <w:p>
            <w:r>
              <w:t>Paper Execution</w:t>
            </w:r>
          </w:p>
        </w:tc>
        <w:tc>
          <w:tcPr>
            <w:tcW w:type="dxa" w:w="5328"/>
            <w:vAlign w:val="center"/>
          </w:tcPr>
          <w:p>
            <w:r>
              <w:t>Order lifecycle simulation validation locked; no broker orders</w:t>
            </w:r>
          </w:p>
        </w:tc>
      </w:tr>
      <w:tr>
        <w:tc>
          <w:tcPr>
            <w:tcW w:type="dxa" w:w="5328"/>
            <w:vAlign w:val="center"/>
          </w:tcPr>
          <w:p>
            <w:r>
              <w:t>Enabled Strategies</w:t>
            </w:r>
          </w:p>
        </w:tc>
        <w:tc>
          <w:tcPr>
            <w:tcW w:type="dxa" w:w="5328"/>
            <w:vAlign w:val="center"/>
          </w:tcPr>
          <w:p>
            <w:r>
              <w:t>Only FVG_MICRO_RETEST</w:t>
            </w:r>
          </w:p>
        </w:tc>
      </w:tr>
      <w:tr>
        <w:tc>
          <w:tcPr>
            <w:tcW w:type="dxa" w:w="5328"/>
            <w:vAlign w:val="center"/>
          </w:tcPr>
          <w:p>
            <w:r>
              <w:t>All Other Engines</w:t>
            </w:r>
          </w:p>
        </w:tc>
        <w:tc>
          <w:tcPr>
            <w:tcW w:type="dxa" w:w="5328"/>
            <w:vAlign w:val="center"/>
          </w:tcPr>
          <w:p>
            <w:r>
              <w:t>Registered / future only; not activated</w:t>
            </w:r>
          </w:p>
        </w:tc>
      </w:tr>
    </w:tbl>
    <w:p>
      <w:pPr>
        <w:pStyle w:val="Heading1"/>
      </w:pPr>
      <w:r>
        <w:t>6. Standing Rules and Plan Commitment</w:t>
      </w:r>
    </w:p>
    <w:p>
      <w:r>
        <w:t>• Follow the official JA FalconCore roadmap and project rules.</w:t>
      </w:r>
    </w:p>
    <w:p>
      <w:r>
        <w:t>• No OrderSend inside any Strategy Engine.</w:t>
      </w:r>
    </w:p>
    <w:p>
      <w:r>
        <w:t>• No new Strategy enters Runtime directly: Shadow → Paper → Demo → OOS → Candidate → Lock.</w:t>
      </w:r>
    </w:p>
    <w:p>
      <w:r>
        <w:t>• No lookahead and no final-state dependency for runtime decisions.</w:t>
      </w:r>
    </w:p>
    <w:p>
      <w:r>
        <w:t>• No early Break-Even; structural SL only.</w:t>
      </w:r>
    </w:p>
    <w:p>
      <w:r>
        <w:t>• Protect only when earned; expand only on proof.</w:t>
      </w:r>
    </w:p>
    <w:p>
      <w:r>
        <w:t>• Pattern and SMC are evidence, not permission.</w:t>
      </w:r>
    </w:p>
    <w:p>
      <w:r>
        <w:t>• Diagnostics are temporary; Lock versions must clean or freeze only what became official.</w:t>
      </w:r>
    </w:p>
    <w:p>
      <w:r>
        <w:t>• Keep Inputs simple for normal users; move complexity into internal profiles/constants.</w:t>
      </w:r>
    </w:p>
    <w:p>
      <w:r>
        <w:t>• Project Memory must be updated after every release.</w:t>
      </w:r>
    </w:p>
    <w:p>
      <w:pPr>
        <w:pStyle w:val="Heading1"/>
      </w:pPr>
      <w:r>
        <w:t>7. Known Legacy Risks to Avoid</w:t>
      </w:r>
    </w:p>
    <w:p>
      <w:r>
        <w:t>• Giant single-file growth and uncontrolled globals.</w:t>
      </w:r>
    </w:p>
    <w:p>
      <w:r>
        <w:t>• Shared acceptance pipe that destroys engine independence.</w:t>
      </w:r>
    </w:p>
    <w:p>
      <w:r>
        <w:t>• Final report rebuild bottlenecks.</w:t>
      </w:r>
    </w:p>
    <w:p>
      <w:r>
        <w:t>• Buy/Sell asymmetry caused by stricter hidden sell rules.</w:t>
      </w:r>
    </w:p>
    <w:p>
      <w:r>
        <w:t>• Using high/low of the current candle in a way that assumes unknown intra-bar order.</w:t>
      </w:r>
    </w:p>
    <w:p>
      <w:r>
        <w:t>• Strategy names without real accepted engines.</w:t>
      </w:r>
    </w:p>
    <w:p>
      <w:r>
        <w:t>• Input bloat and feature activation before Shadow/OOS validation.</w:t>
      </w:r>
    </w:p>
    <w:p>
      <w:pPr>
        <w:pStyle w:val="Heading1"/>
      </w:pPr>
      <w:r>
        <w:t>8. What was completed</w:t>
      </w:r>
    </w:p>
    <w:p>
      <w:r>
        <w:t>• FVG Micro + SIZE250 Runtime Candidate completed inside Shadow lifecycle.</w:t>
      </w:r>
    </w:p>
    <w:p>
      <w:r>
        <w:t>• FalconGuard Risk Foundation and Pre-Execution Gate locked.</w:t>
      </w:r>
    </w:p>
    <w:p>
      <w:r>
        <w:t>• TradeManagement Foundation and Structural SL/TP Builder Validation locked.</w:t>
      </w:r>
    </w:p>
    <w:p>
      <w:r>
        <w:t>• Smart Trade Management diagnostics through Decision Tree Timing Feasibility locked.</w:t>
      </w:r>
    </w:p>
    <w:p>
      <w:r>
        <w:t>• Paper Execution Readiness and Paper Order Lifecycle Simulation validated and locked.</w:t>
      </w:r>
    </w:p>
    <w:p>
      <w:pPr>
        <w:pStyle w:val="Heading1"/>
      </w:pPr>
      <w:r>
        <w:t>9. Next Task</w:t>
      </w:r>
    </w:p>
    <w:p>
      <w:r>
        <w:t>Start v0.32.0 — Paper Partial / Runner Branch Simulation. This must still keep OrderSend = NO, Demo = NO, Live = NO. The goal is to simulate partial and runner branches internally using the existing Paper lifecycle, without changing broker execution or real trading behavior.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