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FalconCore Project Memory — v0.55.6b LOCKED</w:t>
      </w:r>
    </w:p>
    <w:p>
      <w:pPr>
        <w:jc w:val="center"/>
      </w:pPr>
      <w:r>
        <w:t>Capital Flow Clean Lock — simulation scaffolding removed after validation; real capital-flow classification retained.</w:t>
      </w:r>
    </w:p>
    <w:p>
      <w:pPr>
        <w:pStyle w:val="Heading1"/>
      </w:pPr>
      <w:r>
        <w:t>Lock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Item</w:t>
            </w:r>
          </w:p>
        </w:tc>
        <w:tc>
          <w:tcPr>
            <w:tcW w:type="dxa" w:w="5256"/>
            <w:shd w:fill="D9EAF7"/>
          </w:tcPr>
          <w:p>
            <w:r>
              <w:t>Status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v0.55.6b — Capital Flow Clean Lock</w:t>
            </w:r>
          </w:p>
        </w:tc>
      </w:tr>
      <w:tr>
        <w:tc>
          <w:tcPr>
            <w:tcW w:type="dxa" w:w="5256"/>
          </w:tcPr>
          <w:p>
            <w:r>
              <w:t>Verdict</w:t>
            </w:r>
          </w:p>
        </w:tc>
        <w:tc>
          <w:tcPr>
            <w:tcW w:type="dxa" w:w="5256"/>
          </w:tcPr>
          <w:p>
            <w:r>
              <w:t>LOCKED / ACCEPTED</w:t>
            </w:r>
          </w:p>
        </w:tc>
      </w:tr>
      <w:tr>
        <w:tc>
          <w:tcPr>
            <w:tcW w:type="dxa" w:w="5256"/>
          </w:tcPr>
          <w:p>
            <w:r>
              <w:t>Type</w:t>
            </w:r>
          </w:p>
        </w:tc>
        <w:tc>
          <w:tcPr>
            <w:tcW w:type="dxa" w:w="5256"/>
          </w:tcPr>
          <w:p>
            <w:r>
              <w:t>Capital Accounting Cleanup / No Trading Logic Change</w:t>
            </w:r>
          </w:p>
        </w:tc>
      </w:tr>
      <w:tr>
        <w:tc>
          <w:tcPr>
            <w:tcW w:type="dxa" w:w="5256"/>
          </w:tcPr>
          <w:p>
            <w:r>
              <w:t>Simulation Inputs</w:t>
            </w:r>
          </w:p>
        </w:tc>
        <w:tc>
          <w:tcPr>
            <w:tcW w:type="dxa" w:w="5256"/>
          </w:tcPr>
          <w:p>
            <w:r>
              <w:t>REMOVED</w:t>
            </w:r>
          </w:p>
        </w:tc>
      </w:tr>
      <w:tr>
        <w:tc>
          <w:tcPr>
            <w:tcW w:type="dxa" w:w="5256"/>
          </w:tcPr>
          <w:p>
            <w:r>
              <w:t>Default Report Profile</w:t>
            </w:r>
          </w:p>
        </w:tc>
        <w:tc>
          <w:tcPr>
            <w:tcW w:type="dxa" w:w="5256"/>
          </w:tcPr>
          <w:p>
            <w:r>
              <w:t>MINIMAL</w:t>
            </w:r>
          </w:p>
        </w:tc>
      </w:tr>
      <w:tr>
        <w:tc>
          <w:tcPr>
            <w:tcW w:type="dxa" w:w="5256"/>
          </w:tcPr>
          <w:p>
            <w:r>
              <w:t>TradeLifecycle Columns</w:t>
            </w:r>
          </w:p>
        </w:tc>
        <w:tc>
          <w:tcPr>
            <w:tcW w:type="dxa" w:w="5256"/>
          </w:tcPr>
          <w:p>
            <w:r>
              <w:t>30</w:t>
            </w:r>
          </w:p>
        </w:tc>
      </w:tr>
      <w:tr>
        <w:tc>
          <w:tcPr>
            <w:tcW w:type="dxa" w:w="5256"/>
          </w:tcPr>
          <w:p>
            <w:r>
              <w:t>Summary Columns</w:t>
            </w:r>
          </w:p>
        </w:tc>
        <w:tc>
          <w:tcPr>
            <w:tcW w:type="dxa" w:w="5256"/>
          </w:tcPr>
          <w:p>
            <w:r>
              <w:t>51</w:t>
            </w:r>
          </w:p>
        </w:tc>
      </w:tr>
      <w:tr>
        <w:tc>
          <w:tcPr>
            <w:tcW w:type="dxa" w:w="5256"/>
          </w:tcPr>
          <w:p>
            <w:r>
              <w:t>AutoPeriodManifest Columns</w:t>
            </w:r>
          </w:p>
        </w:tc>
        <w:tc>
          <w:tcPr>
            <w:tcW w:type="dxa" w:w="5256"/>
          </w:tcPr>
          <w:p>
            <w:r>
              <w:t>12</w:t>
            </w:r>
          </w:p>
        </w:tc>
      </w:tr>
    </w:tbl>
    <w:p>
      <w:pPr>
        <w:pStyle w:val="Heading1"/>
      </w:pPr>
      <w:r>
        <w:t>Regression Results — Fixed and Dynamic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fill="D9EAF7"/>
          </w:tcPr>
          <w:p>
            <w:r>
              <w:t>Window</w:t>
            </w:r>
          </w:p>
        </w:tc>
        <w:tc>
          <w:tcPr>
            <w:tcW w:type="dxa" w:w="1168"/>
            <w:shd w:fill="D9EAF7"/>
          </w:tcPr>
          <w:p>
            <w:r>
              <w:t>Mode</w:t>
            </w:r>
          </w:p>
        </w:tc>
        <w:tc>
          <w:tcPr>
            <w:tcW w:type="dxa" w:w="1168"/>
            <w:shd w:fill="D9EAF7"/>
          </w:tcPr>
          <w:p>
            <w:r>
              <w:t>Trades</w:t>
            </w:r>
          </w:p>
        </w:tc>
        <w:tc>
          <w:tcPr>
            <w:tcW w:type="dxa" w:w="1168"/>
            <w:shd w:fill="D9EAF7"/>
          </w:tcPr>
          <w:p>
            <w:r>
              <w:t>WinRate</w:t>
            </w:r>
          </w:p>
        </w:tc>
        <w:tc>
          <w:tcPr>
            <w:tcW w:type="dxa" w:w="1168"/>
            <w:shd w:fill="D9EAF7"/>
          </w:tcPr>
          <w:p>
            <w:r>
              <w:t>RawNetUSD</w:t>
            </w:r>
          </w:p>
        </w:tc>
        <w:tc>
          <w:tcPr>
            <w:tcW w:type="dxa" w:w="1168"/>
            <w:shd w:fill="D9EAF7"/>
          </w:tcPr>
          <w:p>
            <w:r>
              <w:t>FinalWorkingNetUSD</w:t>
            </w:r>
          </w:p>
        </w:tc>
        <w:tc>
          <w:tcPr>
            <w:tcW w:type="dxa" w:w="1168"/>
            <w:shd w:fill="D9EAF7"/>
          </w:tcPr>
          <w:p>
            <w:r>
              <w:t>AvgLot</w:t>
            </w:r>
          </w:p>
        </w:tc>
        <w:tc>
          <w:tcPr>
            <w:tcW w:type="dxa" w:w="1168"/>
            <w:shd w:fill="D9EAF7"/>
          </w:tcPr>
          <w:p>
            <w:r>
              <w:t>MaxLot</w:t>
            </w:r>
          </w:p>
        </w:tc>
        <w:tc>
          <w:tcPr>
            <w:tcW w:type="dxa" w:w="1168"/>
            <w:shd w:fill="D9EAF7"/>
          </w:tcPr>
          <w:p>
            <w:r>
              <w:t>Integrity</w:t>
            </w:r>
          </w:p>
        </w:tc>
      </w:tr>
      <w:tr>
        <w:tc>
          <w:tcPr>
            <w:tcW w:type="dxa" w:w="1168"/>
          </w:tcPr>
          <w:p>
            <w:r>
              <w:t>2026-04-01 → 2026-04-30</w:t>
            </w:r>
          </w:p>
        </w:tc>
        <w:tc>
          <w:tcPr>
            <w:tcW w:type="dxa" w:w="1168"/>
          </w:tcPr>
          <w:p>
            <w:r>
              <w:t>Fixed 0.01</w:t>
            </w:r>
          </w:p>
        </w:tc>
        <w:tc>
          <w:tcPr>
            <w:tcW w:type="dxa" w:w="1168"/>
          </w:tcPr>
          <w:p>
            <w:r>
              <w:t>536</w:t>
            </w:r>
          </w:p>
        </w:tc>
        <w:tc>
          <w:tcPr>
            <w:tcW w:type="dxa" w:w="1168"/>
          </w:tcPr>
          <w:p>
            <w:r>
              <w:t>68.28%</w:t>
            </w:r>
          </w:p>
        </w:tc>
        <w:tc>
          <w:tcPr>
            <w:tcW w:type="dxa" w:w="1168"/>
          </w:tcPr>
          <w:p>
            <w:r>
              <w:t>585.17</w:t>
            </w:r>
          </w:p>
        </w:tc>
        <w:tc>
          <w:tcPr>
            <w:tcW w:type="dxa" w:w="1168"/>
          </w:tcPr>
          <w:p>
            <w:r>
              <w:t>1102.45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2026-04-01 → 2026-04-30</w:t>
            </w:r>
          </w:p>
        </w:tc>
        <w:tc>
          <w:tcPr>
            <w:tcW w:type="dxa" w:w="1168"/>
          </w:tcPr>
          <w:p>
            <w:r>
              <w:t>Dynamic</w:t>
            </w:r>
          </w:p>
        </w:tc>
        <w:tc>
          <w:tcPr>
            <w:tcW w:type="dxa" w:w="1168"/>
          </w:tcPr>
          <w:p>
            <w:r>
              <w:t>536</w:t>
            </w:r>
          </w:p>
        </w:tc>
        <w:tc>
          <w:tcPr>
            <w:tcW w:type="dxa" w:w="1168"/>
          </w:tcPr>
          <w:p>
            <w:r>
              <w:t>68.28%</w:t>
            </w:r>
          </w:p>
        </w:tc>
        <w:tc>
          <w:tcPr>
            <w:tcW w:type="dxa" w:w="1168"/>
          </w:tcPr>
          <w:p>
            <w:r>
              <w:t>2239.67</w:t>
            </w:r>
          </w:p>
        </w:tc>
        <w:tc>
          <w:tcPr>
            <w:tcW w:type="dxa" w:w="1168"/>
          </w:tcPr>
          <w:p>
            <w:r>
              <w:t>4524.85</w:t>
            </w:r>
          </w:p>
        </w:tc>
        <w:tc>
          <w:tcPr>
            <w:tcW w:type="dxa" w:w="1168"/>
          </w:tcPr>
          <w:p>
            <w:r>
              <w:t>0.04</w:t>
            </w:r>
          </w:p>
        </w:tc>
        <w:tc>
          <w:tcPr>
            <w:tcW w:type="dxa" w:w="1168"/>
          </w:tcPr>
          <w:p>
            <w:r>
              <w:t>0.18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2026-05-01 → 2026-05-14</w:t>
            </w:r>
          </w:p>
        </w:tc>
        <w:tc>
          <w:tcPr>
            <w:tcW w:type="dxa" w:w="1168"/>
          </w:tcPr>
          <w:p>
            <w:r>
              <w:t>Fixed 0.01</w:t>
            </w:r>
          </w:p>
        </w:tc>
        <w:tc>
          <w:tcPr>
            <w:tcW w:type="dxa" w:w="1168"/>
          </w:tcPr>
          <w:p>
            <w:r>
              <w:t>258</w:t>
            </w:r>
          </w:p>
        </w:tc>
        <w:tc>
          <w:tcPr>
            <w:tcW w:type="dxa" w:w="1168"/>
          </w:tcPr>
          <w:p>
            <w:r>
              <w:t>64.73%</w:t>
            </w:r>
          </w:p>
        </w:tc>
        <w:tc>
          <w:tcPr>
            <w:tcW w:type="dxa" w:w="1168"/>
          </w:tcPr>
          <w:p>
            <w:r>
              <w:t>332.04</w:t>
            </w:r>
          </w:p>
        </w:tc>
        <w:tc>
          <w:tcPr>
            <w:tcW w:type="dxa" w:w="1168"/>
          </w:tcPr>
          <w:p>
            <w:r>
              <w:t>759.45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  <w:tr>
        <w:tc>
          <w:tcPr>
            <w:tcW w:type="dxa" w:w="1168"/>
          </w:tcPr>
          <w:p>
            <w:r>
              <w:t>2026-05-01 → 2026-05-14</w:t>
            </w:r>
          </w:p>
        </w:tc>
        <w:tc>
          <w:tcPr>
            <w:tcW w:type="dxa" w:w="1168"/>
          </w:tcPr>
          <w:p>
            <w:r>
              <w:t>Dynamic</w:t>
            </w:r>
          </w:p>
        </w:tc>
        <w:tc>
          <w:tcPr>
            <w:tcW w:type="dxa" w:w="1168"/>
          </w:tcPr>
          <w:p>
            <w:r>
              <w:t>258</w:t>
            </w:r>
          </w:p>
        </w:tc>
        <w:tc>
          <w:tcPr>
            <w:tcW w:type="dxa" w:w="1168"/>
          </w:tcPr>
          <w:p>
            <w:r>
              <w:t>64.73%</w:t>
            </w:r>
          </w:p>
        </w:tc>
        <w:tc>
          <w:tcPr>
            <w:tcW w:type="dxa" w:w="1168"/>
          </w:tcPr>
          <w:p>
            <w:r>
              <w:t>468.83</w:t>
            </w:r>
          </w:p>
        </w:tc>
        <w:tc>
          <w:tcPr>
            <w:tcW w:type="dxa" w:w="1168"/>
          </w:tcPr>
          <w:p>
            <w:r>
              <w:t>1103.55</w:t>
            </w:r>
          </w:p>
        </w:tc>
        <w:tc>
          <w:tcPr>
            <w:tcW w:type="dxa" w:w="1168"/>
          </w:tcPr>
          <w:p>
            <w:r>
              <w:t>0.01</w:t>
            </w:r>
          </w:p>
        </w:tc>
        <w:tc>
          <w:tcPr>
            <w:tcW w:type="dxa" w:w="1168"/>
          </w:tcPr>
          <w:p>
            <w:r>
              <w:t>0.04</w:t>
            </w:r>
          </w:p>
        </w:tc>
        <w:tc>
          <w:tcPr>
            <w:tcW w:type="dxa" w:w="1168"/>
          </w:tcPr>
          <w:p>
            <w:r>
              <w:t>PASS</w:t>
            </w:r>
          </w:p>
        </w:tc>
      </w:tr>
    </w:tbl>
    <w:p>
      <w:pPr>
        <w:pStyle w:val="Heading1"/>
      </w:pPr>
      <w:r>
        <w:t>Capital Flow Clean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Metric</w:t>
            </w:r>
          </w:p>
        </w:tc>
        <w:tc>
          <w:tcPr>
            <w:tcW w:type="dxa" w:w="5256"/>
            <w:shd w:fill="D9EAF7"/>
          </w:tcPr>
          <w:p>
            <w:r>
              <w:t>Result</w:t>
            </w:r>
          </w:p>
        </w:tc>
      </w:tr>
      <w:tr>
        <w:tc>
          <w:tcPr>
            <w:tcW w:type="dxa" w:w="5256"/>
          </w:tcPr>
          <w:p>
            <w:r>
              <w:t>CapitalInjectionEvents</w:t>
            </w:r>
          </w:p>
        </w:tc>
        <w:tc>
          <w:tcPr>
            <w:tcW w:type="dxa" w:w="5256"/>
          </w:tcPr>
          <w:p>
            <w:r>
              <w:t>0 in all regression reports</w:t>
            </w:r>
          </w:p>
        </w:tc>
      </w:tr>
      <w:tr>
        <w:tc>
          <w:tcPr>
            <w:tcW w:type="dxa" w:w="5256"/>
          </w:tcPr>
          <w:p>
            <w:r>
              <w:t>CapitalWithdrawalEvents</w:t>
            </w:r>
          </w:p>
        </w:tc>
        <w:tc>
          <w:tcPr>
            <w:tcW w:type="dxa" w:w="5256"/>
          </w:tcPr>
          <w:p>
            <w:r>
              <w:t>0 in all regression reports</w:t>
            </w:r>
          </w:p>
        </w:tc>
      </w:tr>
      <w:tr>
        <w:tc>
          <w:tcPr>
            <w:tcW w:type="dxa" w:w="5256"/>
          </w:tcPr>
          <w:p>
            <w:r>
              <w:t>ExternalCapitalNetUSD</w:t>
            </w:r>
          </w:p>
        </w:tc>
        <w:tc>
          <w:tcPr>
            <w:tcW w:type="dxa" w:w="5256"/>
          </w:tcPr>
          <w:p>
            <w:r>
              <w:t>0.0000 / negative-zero rounding only</w:t>
            </w:r>
          </w:p>
        </w:tc>
      </w:tr>
      <w:tr>
        <w:tc>
          <w:tcPr>
            <w:tcW w:type="dxa" w:w="5256"/>
          </w:tcPr>
          <w:p>
            <w:r>
              <w:t>CapitalFlowIntegrityStatus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ReportIntegrityStatus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TradeRowsVsSummaryStatus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VisibleRawNetUSDDiff</w:t>
            </w:r>
          </w:p>
        </w:tc>
        <w:tc>
          <w:tcPr>
            <w:tcW w:type="dxa" w:w="5256"/>
          </w:tcPr>
          <w:p>
            <w:r>
              <w:t>≤ 0.01</w:t>
            </w:r>
          </w:p>
        </w:tc>
      </w:tr>
      <w:tr>
        <w:tc>
          <w:tcPr>
            <w:tcW w:type="dxa" w:w="5256"/>
          </w:tcPr>
          <w:p>
            <w:r>
              <w:t>VisibleFinalNetUSDDiff</w:t>
            </w:r>
          </w:p>
        </w:tc>
        <w:tc>
          <w:tcPr>
            <w:tcW w:type="dxa" w:w="5256"/>
          </w:tcPr>
          <w:p>
            <w:r>
              <w:t>≤ 0.01</w:t>
            </w:r>
          </w:p>
        </w:tc>
      </w:tr>
    </w:tbl>
    <w:p>
      <w:pPr>
        <w:pStyle w:val="Heading1"/>
      </w:pPr>
      <w:r>
        <w:t>Safety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Invariant</w:t>
            </w:r>
          </w:p>
        </w:tc>
        <w:tc>
          <w:tcPr>
            <w:tcW w:type="dxa" w:w="5256"/>
            <w:shd w:fill="D9EAF7"/>
          </w:tcPr>
          <w:p>
            <w:r>
              <w:t>Result</w:t>
            </w:r>
          </w:p>
        </w:tc>
      </w:tr>
      <w:tr>
        <w:tc>
          <w:tcPr>
            <w:tcW w:type="dxa" w:w="5256"/>
          </w:tcPr>
          <w:p>
            <w:r>
              <w:t>OrderSend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BrokerModifySent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RuntimeSLChanged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InvariantBreaches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CTrade Buy/Sell</w:t>
            </w:r>
          </w:p>
        </w:tc>
        <w:tc>
          <w:tcPr>
            <w:tcW w:type="dxa" w:w="5256"/>
          </w:tcPr>
          <w:p>
            <w:r>
              <w:t>0 in static validation</w:t>
            </w:r>
          </w:p>
        </w:tc>
      </w:tr>
      <w:tr>
        <w:tc>
          <w:tcPr>
            <w:tcW w:type="dxa" w:w="5256"/>
          </w:tcPr>
          <w:p>
            <w:r>
              <w:t>PositionModify</w:t>
            </w:r>
          </w:p>
        </w:tc>
        <w:tc>
          <w:tcPr>
            <w:tcW w:type="dxa" w:w="5256"/>
          </w:tcPr>
          <w:p>
            <w:r>
              <w:t>0 in static validation</w:t>
            </w:r>
          </w:p>
        </w:tc>
      </w:tr>
    </w:tbl>
    <w:p>
      <w:pPr>
        <w:pStyle w:val="Heading1"/>
      </w:pPr>
      <w:r>
        <w:t>Clean Lock Notes</w:t>
      </w:r>
    </w:p>
    <w:p>
      <w:r>
        <w:t>v0.55.6a simulation scenarios validated Regression / Injection / Withdrawal / Mixed scenarios before cleanup.</w:t>
      </w:r>
    </w:p>
    <w:p>
      <w:r>
        <w:t>v0.55.6b removes temporary simulation inputs and summary simulation audit fields before lock.</w:t>
      </w:r>
    </w:p>
    <w:p>
      <w:r>
        <w:t>Real capital-flow classification remains active: CapitalFlowSource, CapitalDeltaUSD, ExternalCapitalDeltaUSD, injection/withdrawal counters, and CapitalFlowIntegrityStatus.</w:t>
      </w:r>
    </w:p>
    <w:p>
      <w:r>
        <w:t>No trading logic changed from v0.55.5/v0.55.6a. The layer is reporting/accounting classification only.</w:t>
      </w:r>
    </w:p>
    <w:p>
      <w:r>
        <w:t>Next planned step: proceed only after this lock to the next capital/risk layer, while continuing to clean diagnostics after every LOCK.</w:t>
      </w:r>
    </w:p>
    <w:p>
      <w:pPr>
        <w:pStyle w:val="Heading1"/>
      </w:pPr>
      <w:r>
        <w:t>Current Baselines After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Baseline</w:t>
            </w:r>
          </w:p>
        </w:tc>
        <w:tc>
          <w:tcPr>
            <w:tcW w:type="dxa" w:w="5256"/>
            <w:shd w:fill="D9EAF7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Fixed April Full</w:t>
            </w:r>
          </w:p>
        </w:tc>
        <w:tc>
          <w:tcPr>
            <w:tcW w:type="dxa" w:w="5256"/>
          </w:tcPr>
          <w:p>
            <w:r>
              <w:t>1102.45 FinalWorkingNetUSD</w:t>
            </w:r>
          </w:p>
        </w:tc>
      </w:tr>
      <w:tr>
        <w:tc>
          <w:tcPr>
            <w:tcW w:type="dxa" w:w="5256"/>
          </w:tcPr>
          <w:p>
            <w:r>
              <w:t>Dynamic April Full</w:t>
            </w:r>
          </w:p>
        </w:tc>
        <w:tc>
          <w:tcPr>
            <w:tcW w:type="dxa" w:w="5256"/>
          </w:tcPr>
          <w:p>
            <w:r>
              <w:t>4524.85 FinalWorkingNetUSD</w:t>
            </w:r>
          </w:p>
        </w:tc>
      </w:tr>
      <w:tr>
        <w:tc>
          <w:tcPr>
            <w:tcW w:type="dxa" w:w="5256"/>
          </w:tcPr>
          <w:p>
            <w:r>
              <w:t>Fixed May Fresh</w:t>
            </w:r>
          </w:p>
        </w:tc>
        <w:tc>
          <w:tcPr>
            <w:tcW w:type="dxa" w:w="5256"/>
          </w:tcPr>
          <w:p>
            <w:r>
              <w:t>759.45 FinalWorkingNetUSD</w:t>
            </w:r>
          </w:p>
        </w:tc>
      </w:tr>
      <w:tr>
        <w:tc>
          <w:tcPr>
            <w:tcW w:type="dxa" w:w="5256"/>
          </w:tcPr>
          <w:p>
            <w:r>
              <w:t>Dynamic May Fresh</w:t>
            </w:r>
          </w:p>
        </w:tc>
        <w:tc>
          <w:tcPr>
            <w:tcW w:type="dxa" w:w="5256"/>
          </w:tcPr>
          <w:p>
            <w:r>
              <w:t>1103.55 FinalWorkingNetUSD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