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Automated Trading Platform</w:t>
        <w:br/>
      </w:r>
      <w:r>
        <w:rPr>
          <w:b/>
          <w:sz w:val="28"/>
        </w:rPr>
        <w:t>Project Memory — v0.55.10c LOCKED</w:t>
      </w:r>
    </w:p>
    <w:p>
      <w:pPr>
        <w:jc w:val="center"/>
      </w:pPr>
      <w:r>
        <w:rPr>
          <w:i/>
        </w:rPr>
        <w:t>Tier/Emergency Event Files + Report Filename Lot Mode + Summary Final Date Tag Fix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LOCKED / ACCEPTED</w:t>
            </w:r>
          </w:p>
        </w:tc>
      </w:tr>
      <w:tr>
        <w:tc>
          <w:tcPr>
            <w:tcW w:type="dxa" w:w="5184"/>
          </w:tcPr>
          <w:p>
            <w:r>
              <w:t>Version</w:t>
            </w:r>
          </w:p>
        </w:tc>
        <w:tc>
          <w:tcPr>
            <w:tcW w:type="dxa" w:w="5184"/>
          </w:tcPr>
          <w:p>
            <w:r>
              <w:t>v0.55.10c — Summary Final Date Tag Fix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Reporting / Event Logging / No Trading Logic Change</w:t>
            </w:r>
          </w:p>
        </w:tc>
      </w:tr>
      <w:tr>
        <w:tc>
          <w:tcPr>
            <w:tcW w:type="dxa" w:w="5184"/>
          </w:tcPr>
          <w:p>
            <w:r>
              <w:t>Baseline Source</w:t>
            </w:r>
          </w:p>
        </w:tc>
        <w:tc>
          <w:tcPr>
            <w:tcW w:type="dxa" w:w="5184"/>
          </w:tcPr>
          <w:p>
            <w:r>
              <w:t>v0.55.9a LOCKED results preserved; no entry/exit/lot/emergency logic change</w:t>
            </w:r>
          </w:p>
        </w:tc>
      </w:tr>
      <w:tr>
        <w:tc>
          <w:tcPr>
            <w:tcW w:type="dxa" w:w="5184"/>
          </w:tcPr>
          <w:p>
            <w:r>
              <w:t>Primary Windows</w:t>
            </w:r>
          </w:p>
        </w:tc>
        <w:tc>
          <w:tcPr>
            <w:tcW w:type="dxa" w:w="5184"/>
          </w:tcPr>
          <w:p>
            <w:r>
              <w:t>April Full 2026-04-01 → 2026-04-30; May Fresh 2026-05-01 → 2026-05-14</w:t>
            </w:r>
          </w:p>
        </w:tc>
      </w:tr>
    </w:tbl>
    <w:p>
      <w:pPr>
        <w:pStyle w:val="Heading1"/>
      </w:pPr>
      <w:r>
        <w:t>1. Locked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Window</w:t>
            </w:r>
          </w:p>
        </w:tc>
        <w:tc>
          <w:tcPr>
            <w:tcW w:type="dxa" w:w="1481"/>
          </w:tcPr>
          <w:p>
            <w:r>
              <w:t>Mode</w:t>
            </w:r>
          </w:p>
        </w:tc>
        <w:tc>
          <w:tcPr>
            <w:tcW w:type="dxa" w:w="1481"/>
          </w:tcPr>
          <w:p>
            <w:r>
              <w:t>Trades</w:t>
            </w:r>
          </w:p>
        </w:tc>
        <w:tc>
          <w:tcPr>
            <w:tcW w:type="dxa" w:w="1481"/>
          </w:tcPr>
          <w:p>
            <w:r>
              <w:t>WinRate</w:t>
            </w:r>
          </w:p>
        </w:tc>
        <w:tc>
          <w:tcPr>
            <w:tcW w:type="dxa" w:w="1481"/>
          </w:tcPr>
          <w:p>
            <w:r>
              <w:t>RawNetUSD</w:t>
            </w:r>
          </w:p>
        </w:tc>
        <w:tc>
          <w:tcPr>
            <w:tcW w:type="dxa" w:w="1481"/>
          </w:tcPr>
          <w:p>
            <w:r>
              <w:t>FinalWorkingNetUSD</w:t>
            </w:r>
          </w:p>
        </w:tc>
        <w:tc>
          <w:tcPr>
            <w:tcW w:type="dxa" w:w="1481"/>
          </w:tcPr>
          <w:p>
            <w:r>
              <w:t>Status</w:t>
            </w:r>
          </w:p>
        </w:tc>
      </w:tr>
      <w:tr>
        <w:tc>
          <w:tcPr>
            <w:tcW w:type="dxa" w:w="1481"/>
          </w:tcPr>
          <w:p>
            <w:r>
              <w:t>April Full</w:t>
            </w:r>
          </w:p>
        </w:tc>
        <w:tc>
          <w:tcPr>
            <w:tcW w:type="dxa" w:w="1481"/>
          </w:tcPr>
          <w:p>
            <w:r>
              <w:t>FixedLot</w:t>
            </w:r>
          </w:p>
        </w:tc>
        <w:tc>
          <w:tcPr>
            <w:tcW w:type="dxa" w:w="1481"/>
          </w:tcPr>
          <w:p>
            <w:r>
              <w:t>536</w:t>
            </w:r>
          </w:p>
        </w:tc>
        <w:tc>
          <w:tcPr>
            <w:tcW w:type="dxa" w:w="1481"/>
          </w:tcPr>
          <w:p>
            <w:r>
              <w:t>68.28%</w:t>
            </w:r>
          </w:p>
        </w:tc>
        <w:tc>
          <w:tcPr>
            <w:tcW w:type="dxa" w:w="1481"/>
          </w:tcPr>
          <w:p>
            <w:r>
              <w:t>585.17</w:t>
            </w:r>
          </w:p>
        </w:tc>
        <w:tc>
          <w:tcPr>
            <w:tcW w:type="dxa" w:w="1481"/>
          </w:tcPr>
          <w:p>
            <w:r>
              <w:t>1102.45</w:t>
            </w:r>
          </w:p>
        </w:tc>
        <w:tc>
          <w:tcPr>
            <w:tcW w:type="dxa" w:w="1481"/>
          </w:tcPr>
          <w:p>
            <w:r>
              <w:t>PASS</w:t>
            </w:r>
          </w:p>
        </w:tc>
      </w:tr>
      <w:tr>
        <w:tc>
          <w:tcPr>
            <w:tcW w:type="dxa" w:w="1481"/>
          </w:tcPr>
          <w:p>
            <w:r>
              <w:t>April Full</w:t>
            </w:r>
          </w:p>
        </w:tc>
        <w:tc>
          <w:tcPr>
            <w:tcW w:type="dxa" w:w="1481"/>
          </w:tcPr>
          <w:p>
            <w:r>
              <w:t>DynamicLot</w:t>
            </w:r>
          </w:p>
        </w:tc>
        <w:tc>
          <w:tcPr>
            <w:tcW w:type="dxa" w:w="1481"/>
          </w:tcPr>
          <w:p>
            <w:r>
              <w:t>536</w:t>
            </w:r>
          </w:p>
        </w:tc>
        <w:tc>
          <w:tcPr>
            <w:tcW w:type="dxa" w:w="1481"/>
          </w:tcPr>
          <w:p>
            <w:r>
              <w:t>68.28%</w:t>
            </w:r>
          </w:p>
        </w:tc>
        <w:tc>
          <w:tcPr>
            <w:tcW w:type="dxa" w:w="1481"/>
          </w:tcPr>
          <w:p>
            <w:r>
              <w:t>2239.67</w:t>
            </w:r>
          </w:p>
        </w:tc>
        <w:tc>
          <w:tcPr>
            <w:tcW w:type="dxa" w:w="1481"/>
          </w:tcPr>
          <w:p>
            <w:r>
              <w:t>4524.85</w:t>
            </w:r>
          </w:p>
        </w:tc>
        <w:tc>
          <w:tcPr>
            <w:tcW w:type="dxa" w:w="1481"/>
          </w:tcPr>
          <w:p>
            <w:r>
              <w:t>PASS</w:t>
            </w:r>
          </w:p>
        </w:tc>
      </w:tr>
      <w:tr>
        <w:tc>
          <w:tcPr>
            <w:tcW w:type="dxa" w:w="1481"/>
          </w:tcPr>
          <w:p>
            <w:r>
              <w:t>May Fresh</w:t>
            </w:r>
          </w:p>
        </w:tc>
        <w:tc>
          <w:tcPr>
            <w:tcW w:type="dxa" w:w="1481"/>
          </w:tcPr>
          <w:p>
            <w:r>
              <w:t>FixedLot</w:t>
            </w:r>
          </w:p>
        </w:tc>
        <w:tc>
          <w:tcPr>
            <w:tcW w:type="dxa" w:w="1481"/>
          </w:tcPr>
          <w:p>
            <w:r>
              <w:t>258</w:t>
            </w:r>
          </w:p>
        </w:tc>
        <w:tc>
          <w:tcPr>
            <w:tcW w:type="dxa" w:w="1481"/>
          </w:tcPr>
          <w:p>
            <w:r>
              <w:t>64.73%</w:t>
            </w:r>
          </w:p>
        </w:tc>
        <w:tc>
          <w:tcPr>
            <w:tcW w:type="dxa" w:w="1481"/>
          </w:tcPr>
          <w:p>
            <w:r>
              <w:t>332.04</w:t>
            </w:r>
          </w:p>
        </w:tc>
        <w:tc>
          <w:tcPr>
            <w:tcW w:type="dxa" w:w="1481"/>
          </w:tcPr>
          <w:p>
            <w:r>
              <w:t>759.45</w:t>
            </w:r>
          </w:p>
        </w:tc>
        <w:tc>
          <w:tcPr>
            <w:tcW w:type="dxa" w:w="1481"/>
          </w:tcPr>
          <w:p>
            <w:r>
              <w:t>PASS</w:t>
            </w:r>
          </w:p>
        </w:tc>
      </w:tr>
      <w:tr>
        <w:tc>
          <w:tcPr>
            <w:tcW w:type="dxa" w:w="1481"/>
          </w:tcPr>
          <w:p>
            <w:r>
              <w:t>May Fresh</w:t>
            </w:r>
          </w:p>
        </w:tc>
        <w:tc>
          <w:tcPr>
            <w:tcW w:type="dxa" w:w="1481"/>
          </w:tcPr>
          <w:p>
            <w:r>
              <w:t>DynamicLot</w:t>
            </w:r>
          </w:p>
        </w:tc>
        <w:tc>
          <w:tcPr>
            <w:tcW w:type="dxa" w:w="1481"/>
          </w:tcPr>
          <w:p>
            <w:r>
              <w:t>258</w:t>
            </w:r>
          </w:p>
        </w:tc>
        <w:tc>
          <w:tcPr>
            <w:tcW w:type="dxa" w:w="1481"/>
          </w:tcPr>
          <w:p>
            <w:r>
              <w:t>64.73%</w:t>
            </w:r>
          </w:p>
        </w:tc>
        <w:tc>
          <w:tcPr>
            <w:tcW w:type="dxa" w:w="1481"/>
          </w:tcPr>
          <w:p>
            <w:r>
              <w:t>468.83</w:t>
            </w:r>
          </w:p>
        </w:tc>
        <w:tc>
          <w:tcPr>
            <w:tcW w:type="dxa" w:w="1481"/>
          </w:tcPr>
          <w:p>
            <w:r>
              <w:t>1103.55</w:t>
            </w:r>
          </w:p>
        </w:tc>
        <w:tc>
          <w:tcPr>
            <w:tcW w:type="dxa" w:w="1481"/>
          </w:tcPr>
          <w:p>
            <w:r>
              <w:t>PASS</w:t>
            </w:r>
          </w:p>
        </w:tc>
      </w:tr>
    </w:tbl>
    <w:p>
      <w:pPr>
        <w:pStyle w:val="Heading1"/>
      </w:pPr>
      <w:r>
        <w:t>2. Report/Event File Validation</w:t>
      </w:r>
    </w:p>
    <w:p>
      <w:pPr>
        <w:pStyle w:val="ListBullet"/>
      </w:pPr>
      <w:r>
        <w:t>All final report filenames include lot mode: FixedLot or DynamicLot.</w:t>
      </w:r>
    </w:p>
    <w:p>
      <w:pPr>
        <w:pStyle w:val="ListBullet"/>
      </w:pPr>
      <w:r>
        <w:t>No AUTO_RUNNING appears in final filenames.</w:t>
      </w:r>
    </w:p>
    <w:p>
      <w:pPr>
        <w:pStyle w:val="ListBullet"/>
      </w:pPr>
      <w:r>
        <w:t>Summary.ToDateTag now uses the final actual date tag, not AUTO_RUNNING.</w:t>
      </w:r>
    </w:p>
    <w:p>
      <w:pPr>
        <w:pStyle w:val="ListBullet"/>
      </w:pPr>
      <w:r>
        <w:t>TradeLifecyclePhysicalRows equals TotalTrades in all four validation reports.</w:t>
      </w:r>
    </w:p>
    <w:p>
      <w:pPr>
        <w:pStyle w:val="ListBullet"/>
      </w:pPr>
      <w:r>
        <w:t>TierTransitions.csv is present and currently header-only because TransitionEvents = 0.</w:t>
      </w:r>
    </w:p>
    <w:p>
      <w:pPr>
        <w:pStyle w:val="ListBullet"/>
      </w:pPr>
      <w:r>
        <w:t>EmergencyTriggers.csv is present; April contains one Layer 1 consecutive-loss event, May is header-only.</w:t>
      </w:r>
    </w:p>
    <w:p>
      <w:pPr>
        <w:pStyle w:val="ListBullet"/>
      </w:pPr>
      <w:r>
        <w:t>ReportIntegrityStatus = PASS, TradeRowsVsSummaryStatus = PASS, CapitalFlowIntegrityStatus = PASS.</w:t>
      </w:r>
    </w:p>
    <w:p>
      <w:pPr>
        <w:pStyle w:val="ListBullet"/>
      </w:pPr>
      <w:r>
        <w:t>Safety invariants remained clean: SafetyOrderSend = 0, BrokerModifySent = 0, RuntimeSLChanged = 0, InvariantBreaches = 0.</w:t>
      </w:r>
    </w:p>
    <w:p>
      <w:pPr>
        <w:pStyle w:val="Heading1"/>
      </w:pPr>
      <w:r>
        <w:t>3. What v0.55.10c Changed</w:t>
      </w:r>
    </w:p>
    <w:p>
      <w:pPr>
        <w:pStyle w:val="ListBullet"/>
      </w:pPr>
      <w:r>
        <w:t>Added formal event files for tier transitions and emergency triggers.</w:t>
      </w:r>
    </w:p>
    <w:p>
      <w:pPr>
        <w:pStyle w:val="ListBullet"/>
      </w:pPr>
      <w:r>
        <w:t>Added lot-mode tags to report filenames to avoid confusing FixedLot and DynamicLot runs.</w:t>
      </w:r>
    </w:p>
    <w:p>
      <w:pPr>
        <w:pStyle w:val="ListBullet"/>
      </w:pPr>
      <w:r>
        <w:t>Fixed Summary.ToDateTag so it matches the final period tag used in filenames and AutoPeriodManifest.</w:t>
      </w:r>
    </w:p>
    <w:p>
      <w:pPr>
        <w:pStyle w:val="ListBullet"/>
      </w:pPr>
      <w:r>
        <w:t>Kept report files compact and event-only; no per-trade diagnostic expansion was introduced.</w:t>
      </w:r>
    </w:p>
    <w:p>
      <w:pPr>
        <w:pStyle w:val="Heading1"/>
      </w:pPr>
      <w:r>
        <w:t>4. What Did Not Change</w:t>
      </w:r>
    </w:p>
    <w:p>
      <w:pPr>
        <w:pStyle w:val="ListBullet"/>
      </w:pPr>
      <w:r>
        <w:t>No entry logic change.</w:t>
      </w:r>
    </w:p>
    <w:p>
      <w:pPr>
        <w:pStyle w:val="ListBullet"/>
      </w:pPr>
      <w:r>
        <w:t>No exit logic change.</w:t>
      </w:r>
    </w:p>
    <w:p>
      <w:pPr>
        <w:pStyle w:val="ListBullet"/>
      </w:pPr>
      <w:r>
        <w:t>No SL/TP change.</w:t>
      </w:r>
    </w:p>
    <w:p>
      <w:pPr>
        <w:pStyle w:val="ListBullet"/>
      </w:pPr>
      <w:r>
        <w:t>No Protection / Runner change.</w:t>
      </w:r>
    </w:p>
    <w:p>
      <w:pPr>
        <w:pStyle w:val="ListBullet"/>
      </w:pPr>
      <w:r>
        <w:t>No Emergency decision change.</w:t>
      </w:r>
    </w:p>
    <w:p>
      <w:pPr>
        <w:pStyle w:val="ListBullet"/>
      </w:pPr>
      <w:r>
        <w:t>No Tier decision change.</w:t>
      </w:r>
    </w:p>
    <w:p>
      <w:pPr>
        <w:pStyle w:val="ListBullet"/>
      </w:pPr>
      <w:r>
        <w:t>No Dynamic LotSizing change.</w:t>
      </w:r>
    </w:p>
    <w:p>
      <w:pPr>
        <w:pStyle w:val="ListBullet"/>
      </w:pPr>
      <w:r>
        <w:t>No Capital Flow change.</w:t>
      </w:r>
    </w:p>
    <w:p>
      <w:pPr>
        <w:pStyle w:val="ListBullet"/>
      </w:pPr>
      <w:r>
        <w:t>No OrderSend / BrokerModify / RuntimeSLChanged introduced.</w:t>
      </w:r>
    </w:p>
    <w:p>
      <w:pPr>
        <w:pStyle w:val="Heading1"/>
      </w:pPr>
      <w:r>
        <w:t>5. Official Baselines After 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Baseline</w:t>
            </w:r>
          </w:p>
        </w:tc>
        <w:tc>
          <w:tcPr>
            <w:tcW w:type="dxa" w:w="3456"/>
          </w:tcPr>
          <w:p>
            <w:r>
              <w:t>Window</w:t>
            </w:r>
          </w:p>
        </w:tc>
        <w:tc>
          <w:tcPr>
            <w:tcW w:type="dxa" w:w="3456"/>
          </w:tcPr>
          <w:p>
            <w:r>
              <w:t>FinalWorkingNetUSD</w:t>
            </w:r>
          </w:p>
        </w:tc>
      </w:tr>
      <w:tr>
        <w:tc>
          <w:tcPr>
            <w:tcW w:type="dxa" w:w="3456"/>
          </w:tcPr>
          <w:p>
            <w:r>
              <w:t>FixedLot</w:t>
            </w:r>
          </w:p>
        </w:tc>
        <w:tc>
          <w:tcPr>
            <w:tcW w:type="dxa" w:w="3456"/>
          </w:tcPr>
          <w:p>
            <w:r>
              <w:t>April Full</w:t>
            </w:r>
          </w:p>
        </w:tc>
        <w:tc>
          <w:tcPr>
            <w:tcW w:type="dxa" w:w="3456"/>
          </w:tcPr>
          <w:p>
            <w:r>
              <w:t>1102.45</w:t>
            </w:r>
          </w:p>
        </w:tc>
      </w:tr>
      <w:tr>
        <w:tc>
          <w:tcPr>
            <w:tcW w:type="dxa" w:w="3456"/>
          </w:tcPr>
          <w:p>
            <w:r>
              <w:t>FixedLot</w:t>
            </w:r>
          </w:p>
        </w:tc>
        <w:tc>
          <w:tcPr>
            <w:tcW w:type="dxa" w:w="3456"/>
          </w:tcPr>
          <w:p>
            <w:r>
              <w:t>May Fresh</w:t>
            </w:r>
          </w:p>
        </w:tc>
        <w:tc>
          <w:tcPr>
            <w:tcW w:type="dxa" w:w="3456"/>
          </w:tcPr>
          <w:p>
            <w:r>
              <w:t>759.45</w:t>
            </w:r>
          </w:p>
        </w:tc>
      </w:tr>
      <w:tr>
        <w:tc>
          <w:tcPr>
            <w:tcW w:type="dxa" w:w="3456"/>
          </w:tcPr>
          <w:p>
            <w:r>
              <w:t>DynamicLot</w:t>
            </w:r>
          </w:p>
        </w:tc>
        <w:tc>
          <w:tcPr>
            <w:tcW w:type="dxa" w:w="3456"/>
          </w:tcPr>
          <w:p>
            <w:r>
              <w:t>April Full</w:t>
            </w:r>
          </w:p>
        </w:tc>
        <w:tc>
          <w:tcPr>
            <w:tcW w:type="dxa" w:w="3456"/>
          </w:tcPr>
          <w:p>
            <w:r>
              <w:t>4524.85</w:t>
            </w:r>
          </w:p>
        </w:tc>
      </w:tr>
      <w:tr>
        <w:tc>
          <w:tcPr>
            <w:tcW w:type="dxa" w:w="3456"/>
          </w:tcPr>
          <w:p>
            <w:r>
              <w:t>DynamicLot</w:t>
            </w:r>
          </w:p>
        </w:tc>
        <w:tc>
          <w:tcPr>
            <w:tcW w:type="dxa" w:w="3456"/>
          </w:tcPr>
          <w:p>
            <w:r>
              <w:t>May Fresh</w:t>
            </w:r>
          </w:p>
        </w:tc>
        <w:tc>
          <w:tcPr>
            <w:tcW w:type="dxa" w:w="3456"/>
          </w:tcPr>
          <w:p>
            <w:r>
              <w:t>1103.55</w:t>
            </w:r>
          </w:p>
        </w:tc>
      </w:tr>
    </w:tbl>
    <w:p>
      <w:pPr>
        <w:pStyle w:val="Heading1"/>
      </w:pPr>
      <w:r>
        <w:t>6. Next Recommended Step</w:t>
      </w:r>
    </w:p>
    <w:p>
      <w:r>
        <w:t>v0.55.11 — Market Close / Weekend Open Position Guard. This is required because the EA must not allow market/weekend close while Paper/Demo/Live positions remain unmanaged or open by accident. This should be implemented as a separate layer with no unrelated changes.</w:t>
      </w:r>
    </w:p>
    <w:p>
      <w:r>
        <w:br/>
        <w:t>تنبيه منهجي: v0.55.10c هو إصدار تقارير وأحداث فقط. لا يعتبر خطوة تداول جديدة، ولا يغير نتائج الصفقات.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