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JA FalconCore Automated Trading Platform</w:t>
      </w:r>
    </w:p>
    <w:p>
      <w:pPr>
        <w:jc w:val="center"/>
      </w:pPr>
      <w:r>
        <w:rPr>
          <w:b/>
          <w:sz w:val="26"/>
        </w:rPr>
        <w:t>Project Memory — v0.21.2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Current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v0.21.2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FvgMicroQualityAttributionLock_NoExecution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Baseline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v0.21.1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Compile Target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Execution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 OrderSend / No real execution / Shadow diagnostics only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Trading Logic Change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Stage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Shadow Quality Attribution Lock</w:t>
            </w:r>
          </w:p>
        </w:tc>
      </w:tr>
    </w:tbl>
    <w:p>
      <w:pPr>
        <w:pStyle w:val="Heading1"/>
      </w:pPr>
      <w:r>
        <w:t>2. What was found in v0.21.1 reports</w:t>
      </w:r>
    </w:p>
    <w:p>
      <w:pPr>
        <w:pStyle w:val="ListBullet"/>
      </w:pPr>
      <w:r>
        <w:t>v0.21.1 preserved full result parity with v0.20.2 and v0.21.0: 81 trades, 60.49% WinRate, +447.58 NetIndexPoints, +89.52 NetUSD.</w:t>
      </w:r>
    </w:p>
    <w:p>
      <w:pPr>
        <w:pStyle w:val="ListBullet"/>
      </w:pPr>
      <w:r>
        <w:t>FVG age/freshness attribution source calibration succeeded: TradeLifecycle no longer shows all rows as Age=0 / FRESH.</w:t>
      </w:r>
    </w:p>
    <w:p>
      <w:pPr>
        <w:pStyle w:val="ListBullet"/>
      </w:pPr>
      <w:r>
        <w:t>FvgRetestAgeBars and FvgAgeBarsAtWatch now match and range from 1 to 6 bars, with FvgAgeSource = SETUP_TIME_TO_WATCH_TIME_PRIOR_BAR_SAFE.</w:t>
      </w:r>
    </w:p>
    <w:p>
      <w:pPr>
        <w:pStyle w:val="ListBullet"/>
      </w:pPr>
      <w:r>
        <w:t>FvgRetestFreshState now differentiates: 73 FRESH trades and 8 STALE trades.</w:t>
      </w:r>
    </w:p>
    <w:p>
      <w:pPr>
        <w:pStyle w:val="ListBullet"/>
      </w:pPr>
      <w:r>
        <w:t>FvgHoldQualityBucket remains useful: STRONG trades produced higher WinRate and NetIndexPoints than NEUTRAL trades in the smoke window.</w:t>
      </w:r>
    </w:p>
    <w:p>
      <w:pPr>
        <w:pStyle w:val="ListBullet"/>
      </w:pPr>
      <w:r>
        <w:t>FvgSizePoints continues to show the strongest early attribution signal: very small FVGs under 250 points performed weakly in the smoke sample, but this is observation only, not a runtime guard.</w:t>
      </w:r>
    </w:p>
    <w:p>
      <w:pPr>
        <w:pStyle w:val="Heading1"/>
      </w:pPr>
      <w:r>
        <w:t>3. Official decision in v0.21.2</w:t>
      </w:r>
    </w:p>
    <w:p>
      <w:pPr>
        <w:pStyle w:val="ListBullet"/>
      </w:pPr>
      <w:r>
        <w:t>Accepted v0.21.1 as a successful age/freshness attribution calibration build.</w:t>
      </w:r>
    </w:p>
    <w:p>
      <w:pPr>
        <w:pStyle w:val="ListBullet"/>
      </w:pPr>
      <w:r>
        <w:t>Created v0.21.2 as a Lock version for FVG Micro per-trade quality attribution.</w:t>
      </w:r>
    </w:p>
    <w:p>
      <w:pPr>
        <w:pStyle w:val="ListBullet"/>
      </w:pPr>
      <w:r>
        <w:t>No Entry, Exit, SL, TP, Shadow Lifecycle, Risk, Execution, or ReportProfile behavior changed.</w:t>
      </w:r>
    </w:p>
    <w:p>
      <w:pPr>
        <w:pStyle w:val="ListBullet"/>
      </w:pPr>
      <w:r>
        <w:t>The quality attribution columns are now considered part of the stable TradeLifecycle analytics layer for upcoming Shadow/OOS analysis.</w:t>
      </w:r>
    </w:p>
    <w:p>
      <w:pPr>
        <w:pStyle w:val="ListBullet"/>
      </w:pPr>
      <w:r>
        <w:t>No quality-based guard is activated in this Lock version. Guard simulation is deferred until enough OOS evidence exists.</w:t>
      </w:r>
    </w:p>
    <w:p>
      <w:pPr>
        <w:pStyle w:val="Heading1"/>
      </w:pPr>
      <w:r>
        <w:t>4. Expected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Reports count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4 files only in STANDARD profile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TradeLifecycle rows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81 on 2026-04-01 to 2026-04-03 smoke period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WinRate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60.49%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NetIndexPoints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+447.58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Expected NetUSD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+89.52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FvgRetestAgeBars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Not all zero; expected 1 to 6 in smoke period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FvgRetestFreshState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FRESH and STALE should both appear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FvgAgeSource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SETUP_TIME_TO_WATCH_TIME_PRIOR_BAR_SAFE</w:t>
            </w:r>
          </w:p>
        </w:tc>
      </w:tr>
    </w:tbl>
    <w:p>
      <w:pPr>
        <w:pStyle w:val="Heading1"/>
      </w:pPr>
      <w:r>
        <w:t>5. Standing rules and plan commitment</w:t>
      </w:r>
    </w:p>
    <w:p>
      <w:pPr>
        <w:pStyle w:val="ListBullet"/>
      </w:pPr>
      <w:r>
        <w:t>Full commitment to the official JA FalconCore plan and its development rules.</w:t>
      </w:r>
    </w:p>
    <w:p>
      <w:pPr>
        <w:pStyle w:val="ListBullet"/>
      </w:pPr>
      <w:r>
        <w:t>Each Strategy and each Engine must remain fully separated from all other strategies and engines.</w:t>
      </w:r>
    </w:p>
    <w:p>
      <w:pPr>
        <w:pStyle w:val="ListBullet"/>
      </w:pPr>
      <w:r>
        <w:t>No OrderSend inside any Strategy Engine. Execution belongs only to FalconExecutor in explicit future execution phases.</w:t>
      </w:r>
    </w:p>
    <w:p>
      <w:pPr>
        <w:pStyle w:val="ListBullet"/>
      </w:pPr>
      <w:r>
        <w:t>Diagnostics are temporary; after a diagnostic path is proven, clean the code, inputs, and extra reports in Lock versions.</w:t>
      </w:r>
    </w:p>
    <w:p>
      <w:pPr>
        <w:pStyle w:val="ListBullet"/>
      </w:pPr>
      <w:r>
        <w:t>Keep ReportProfile STANDARD as the cleanup baseline: TradeLifecycle + Summary + StrategyRegistry + AutoPeriodManifest.</w:t>
      </w:r>
    </w:p>
    <w:p>
      <w:pPr>
        <w:pStyle w:val="ListBullet"/>
      </w:pPr>
      <w:r>
        <w:t>Keep Inputs minimal for ordinary users; thresholds and internal tuning belong to profiles/constants, not input bloat.</w:t>
      </w:r>
    </w:p>
    <w:p>
      <w:pPr>
        <w:pStyle w:val="ListBullet"/>
      </w:pPr>
      <w:r>
        <w:t>Pattern/SMC/Evidence remain supporting evidence, not permission to trade.</w:t>
      </w:r>
    </w:p>
    <w:p>
      <w:pPr>
        <w:pStyle w:val="ListBullet"/>
      </w:pPr>
      <w:r>
        <w:t>No lookahead and no final-state dependency.</w:t>
      </w:r>
    </w:p>
    <w:p>
      <w:pPr>
        <w:pStyle w:val="ListBullet"/>
      </w:pPr>
      <w:r>
        <w:t>No early Break-Even; Structural SL, Protect only when earned, Expand only on proof.</w:t>
      </w:r>
    </w:p>
    <w:p>
      <w:pPr>
        <w:pStyle w:val="ListBullet"/>
      </w:pPr>
      <w:r>
        <w:t>Every release must deliver an updated Project Memory before moving to the next version.</w:t>
      </w:r>
    </w:p>
    <w:p>
      <w:pPr>
        <w:pStyle w:val="Heading1"/>
      </w:pPr>
      <w:r>
        <w:t>6. Next recommended step</w:t>
      </w:r>
    </w:p>
    <w:p>
      <w:pPr>
        <w:pStyle w:val="ListBullet"/>
      </w:pPr>
      <w:r>
        <w:t>Run v0.21.2 on the same smoke window to confirm lock parity.</w:t>
      </w:r>
    </w:p>
    <w:p>
      <w:pPr>
        <w:pStyle w:val="ListBullet"/>
      </w:pPr>
      <w:r>
        <w:t>Then test a wider window before any quality guard simulation.</w:t>
      </w:r>
    </w:p>
    <w:p>
      <w:pPr>
        <w:pStyle w:val="ListBullet"/>
      </w:pPr>
      <w:r>
        <w:t>Recommended next development version after validation: v0.22.0 — FVG Quality Shadow Guard Simulation, with Trading Logic Change = NO and guard results reported as simulation only.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