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Project Memory - v0.36.3</w:t>
      </w:r>
    </w:p>
    <w:p>
      <w:pPr>
        <w:jc w:val="center"/>
      </w:pPr>
      <w:r>
        <w:rPr>
          <w:sz w:val="20"/>
        </w:rPr>
        <w:t>Paper Protection Virtual SL Transition Validation Lock / Summary-only / No Execution</w:t>
      </w:r>
    </w:p>
    <w:p>
      <w:pPr>
        <w:pStyle w:val="Heading1"/>
      </w:pPr>
      <w:r>
        <w:t>Official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Base accepted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v0.36.2 April ShadowSmoke PASSED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Current build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v0.36.3 Paper Protection Virtual SL Transition Validation Lock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Trading logic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NO CHANGE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Runtime protection / runner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NO / 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Broker modify / OrderSend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NO / HARD BLOCKED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Reports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No new report files; Summary-only extension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Next phase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v0.37.0 Paper Protection Virtual SL Broker Feasibility Proxy</w:t>
            </w:r>
          </w:p>
        </w:tc>
      </w:tr>
    </w:tbl>
    <w:p>
      <w:pPr>
        <w:pStyle w:val="Heading1"/>
      </w:pPr>
      <w:r>
        <w:t>Latest validated report - v0.36.2 April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TotalTrades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436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WinTrades / LoseTrades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300 / 136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WinRate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68.81%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TotalProfitIndexPoints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4383.39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TotalLossIndexPoints / Total Lose 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2079.40 / 415.88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NetIndexPoints / 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2303.99 / 460.80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TransitionReadyTrades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ExecutorReadable / LedgerReadable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159 / 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InvariantBreaches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>
      <w:pPr>
        <w:pStyle w:val="Heading1"/>
      </w:pPr>
      <w:r>
        <w:t>What changed in v0.36.3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New Summary prefix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FalconPaperProtectTransitionLock*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Freeze the Virtual SL transition bridge as an invariant before broker feasibility work.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Invariant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Ready = Candidate = TransitionReady = ExecutorReadable = LedgerReadable = TriggerResolved = LevelResolved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Safety checks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Rejected=0, Conflict=0, MissingLedger=0, BrokerModifySent=0, RuntimeSLChanged=0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Expected April result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Ready=159, Breaches=0, Completeness=100.00%</w:t>
            </w:r>
          </w:p>
        </w:tc>
      </w:tr>
    </w:tbl>
    <w:p>
      <w:pPr>
        <w:pStyle w:val="Heading1"/>
      </w:pPr>
      <w:r>
        <w:t>Architecture reminder</w:t>
      </w:r>
    </w:p>
    <w:p>
      <w:pPr>
        <w:ind w:left="288"/>
      </w:pPr>
      <w:r>
        <w:t>• Current work remains inside Risk and TradeManagement readiness for the first strategy only.</w:t>
      </w:r>
    </w:p>
    <w:p>
      <w:pPr>
        <w:ind w:left="288"/>
      </w:pPr>
      <w:r>
        <w:t>• FVG_MICRO_RETEST is the only enabled strategy; all other strategies remain disabled/research in the registry.</w:t>
      </w:r>
    </w:p>
    <w:p>
      <w:pPr>
        <w:ind w:left="288"/>
      </w:pPr>
      <w:r>
        <w:t>• Every Strategy and Engine must remain fully isolated. No shared acceptance pipe and no OrderSend inside engines.</w:t>
      </w:r>
    </w:p>
    <w:p>
      <w:pPr>
        <w:ind w:left="288"/>
      </w:pPr>
      <w:r>
        <w:t>• Operational Safety Rules are now mandatory project rules before Demo/Live: magic numbers, broker limits, spread/slippage, restart recovery, OnTradeTransaction, emergency stop, and concurrent exposure discipline.</w:t>
      </w:r>
    </w:p>
    <w:p>
      <w:pPr>
        <w:ind w:left="288"/>
      </w:pPr>
      <w:r>
        <w:t>• Lock versions must keep the package clean: no temporary reports, no unused runtime code, and no input bloat.</w:t>
      </w:r>
    </w:p>
    <w:p>
      <w:pPr>
        <w:pStyle w:val="Heading1"/>
      </w:pPr>
      <w:r>
        <w:t>Validation gate for v0.36.3 test</w:t>
      </w:r>
    </w:p>
    <w:p>
      <w:pPr>
        <w:ind w:left="288"/>
      </w:pPr>
      <w:r>
        <w:t>• Compile inside MetaEditor: target 0 errors / 0 warnings.</w:t>
      </w:r>
    </w:p>
    <w:p>
      <w:pPr>
        <w:ind w:left="288"/>
      </w:pPr>
      <w:r>
        <w:t>• Run Smoke 2026-04-01 to 2026-04-03, then April 2026-04-01 to 2026-04-24.</w:t>
      </w:r>
    </w:p>
    <w:p>
      <w:pPr>
        <w:ind w:left="288"/>
      </w:pPr>
      <w:r>
        <w:t>• Expected trading results must remain identical to v0.36.2.</w:t>
      </w:r>
    </w:p>
    <w:p>
      <w:pPr>
        <w:ind w:left="288"/>
      </w:pPr>
      <w:r>
        <w:t>• Expected TransitionLock fields: Ready=159, ExecutorReadable=159, LedgerReadable=159, InvariantBreaches=0.</w:t>
      </w:r>
    </w:p>
    <w:p>
      <w:pPr>
        <w:ind w:left="288"/>
      </w:pPr>
      <w:r>
        <w:t>• BrokerModifySent and RuntimeSLChanged must remain 0.</w:t>
      </w:r>
    </w:p>
    <w:p>
      <w:pPr>
        <w:ind w:left="288"/>
      </w:pPr>
      <w:r>
        <w:t>• If v0.36.3 passes, proceed to v0.37.0 Virtual SL Broker Feasibility Proxy using broker stops/freeze rules.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