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JA FalconCore Project Memory — v0.55.2a LOCKED</w:t>
      </w:r>
    </w:p>
    <w:p>
      <w:pPr>
        <w:jc w:val="center"/>
      </w:pPr>
      <w:r>
        <w:rPr>
          <w:b/>
          <w:sz w:val="22"/>
        </w:rPr>
        <w:t>Dynamic Capital-Aware Single Trade Loss Cap Fix</w:t>
      </w:r>
    </w:p>
    <w:p/>
    <w:p>
      <w:r>
        <w:rPr>
          <w:b/>
        </w:rPr>
        <w:t xml:space="preserve">Status: </w:t>
      </w:r>
      <w:r>
        <w:t>LOCKED / ACCEPTED</w:t>
      </w:r>
    </w:p>
    <w:p>
      <w:r>
        <w:rPr>
          <w:b/>
        </w:rPr>
        <w:t xml:space="preserve">Release Type: </w:t>
      </w:r>
      <w:r>
        <w:t>Risk / LotSizing / Dynamic Capital / Paper Runtime Enforcement</w:t>
      </w:r>
    </w:p>
    <w:p>
      <w:r>
        <w:rPr>
          <w:b/>
        </w:rPr>
        <w:t xml:space="preserve">Primary Window: </w:t>
      </w:r>
      <w:r>
        <w:t>2026-04-01 → 2026-04-30 actual observed</w:t>
      </w:r>
    </w:p>
    <w:p>
      <w:r>
        <w:rPr>
          <w:b/>
        </w:rPr>
        <w:t xml:space="preserve">Confirmation Window: </w:t>
      </w:r>
      <w:r>
        <w:t>2026-05-01 → 2026-05-14</w:t>
      </w:r>
    </w:p>
    <w:p>
      <w:r>
        <w:rPr>
          <w:b/>
        </w:rPr>
        <w:t xml:space="preserve">Multi-Window Validation: </w:t>
      </w:r>
      <w:r>
        <w:t>January OOS, February OOS, March OOS, April Full, May Fresh</w:t>
      </w:r>
    </w:p>
    <w:p>
      <w:r>
        <w:rPr>
          <w:b/>
        </w:rPr>
        <w:t xml:space="preserve">Working Baseline after lock: </w:t>
      </w:r>
      <w:r>
        <w:t>v0.55.2a April Full WorkingBaselineNetUSD = 1102.45</w:t>
      </w:r>
    </w:p>
    <w:p>
      <w:pPr>
        <w:pStyle w:val="Heading1"/>
      </w:pPr>
      <w:r>
        <w:t>1. Release Decision</w:t>
      </w:r>
    </w:p>
    <w:p>
      <w:r>
        <w:t>v0.55.2a is locked because the dynamic capital-aware fix resolved the v0.55.2 issue: risk feasibility now updates after every closed Paper trade instead of staying tied to a fixed initial capital assumption. No trades were dynamically blocked across the five validation windows because each trade's min-lot risk remained below the dynamic 50% capital survival cap at the time of evaluation.</w:t>
      </w:r>
    </w:p>
    <w:p>
      <w:r>
        <w:t>The strict cap remains a measurement signal only. Promotion/demotion remains separate and must still be earned; capital growth improves feasibility but does not auto-promote the engine or strategy.</w:t>
      </w:r>
    </w:p>
    <w:p>
      <w:pPr>
        <w:pStyle w:val="Heading1"/>
      </w:pPr>
      <w:r>
        <w:t>2. Multi-Window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3"/>
              </w:rPr>
              <w:t>Window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3"/>
              </w:rPr>
              <w:t>Trades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3"/>
              </w:rPr>
              <w:t>WinRate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3"/>
              </w:rPr>
              <w:t>ProfitUSD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3"/>
              </w:rPr>
              <w:t>LossUSD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3"/>
              </w:rPr>
              <w:t>RunnerNet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3"/>
              </w:rPr>
              <w:t>WorkingNet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3"/>
              </w:rPr>
              <w:t>DynBlocks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3"/>
              </w:rPr>
              <w:t>RiskPctMax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3"/>
              </w:rPr>
              <w:t>CapitalEnd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3"/>
              </w:rPr>
              <w:t>Verdict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2026-01-01 → 2026-01-30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492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65.45%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874.35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497.53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893.20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849.43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27.24%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899.43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PASS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2026-02-01 → 2026-02-27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488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67.01%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1089.54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489.96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1312.24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1312.24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9.90%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1362.24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PASS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2026-03-01 → 2026-03-31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628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65.61%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1481.43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657.88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1909.89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1889.39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7.19%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1939.39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PASS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2026-04-01 → 2026-04-30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536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68.28%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1088.41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503.24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1104.89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1102.45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18.94%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1152.45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PASS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2026-05-01 → 2026-05-14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258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64.73%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633.01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300.97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759.45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759.45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21.16%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809.45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3"/>
              </w:rPr>
              <w:t>PASS</w:t>
            </w:r>
          </w:p>
        </w:tc>
      </w:tr>
    </w:tbl>
    <w:p/>
    <w:p>
      <w:pPr>
        <w:pStyle w:val="Heading1"/>
      </w:pPr>
      <w:r>
        <w:t>3. Dynamic Capital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  <w:vAlign w:val="center"/>
            <w:shd w:fill="D9EAF7"/>
          </w:tcPr>
          <w:p>
            <w:r/>
            <w:r>
              <w:rPr>
                <w:b/>
                <w:sz w:val="14"/>
              </w:rPr>
              <w:t>Window</w:t>
            </w:r>
          </w:p>
        </w:tc>
        <w:tc>
          <w:tcPr>
            <w:tcW w:type="dxa" w:w="1332"/>
            <w:vAlign w:val="center"/>
            <w:shd w:fill="D9EAF7"/>
          </w:tcPr>
          <w:p>
            <w:r/>
            <w:r>
              <w:rPr>
                <w:b/>
                <w:sz w:val="14"/>
              </w:rPr>
              <w:t>CapitalStart</w:t>
            </w:r>
          </w:p>
        </w:tc>
        <w:tc>
          <w:tcPr>
            <w:tcW w:type="dxa" w:w="1332"/>
            <w:vAlign w:val="center"/>
            <w:shd w:fill="D9EAF7"/>
          </w:tcPr>
          <w:p>
            <w:r/>
            <w:r>
              <w:rPr>
                <w:b/>
                <w:sz w:val="14"/>
              </w:rPr>
              <w:t>CapitalMin</w:t>
            </w:r>
          </w:p>
        </w:tc>
        <w:tc>
          <w:tcPr>
            <w:tcW w:type="dxa" w:w="1332"/>
            <w:vAlign w:val="center"/>
            <w:shd w:fill="D9EAF7"/>
          </w:tcPr>
          <w:p>
            <w:r/>
            <w:r>
              <w:rPr>
                <w:b/>
                <w:sz w:val="14"/>
              </w:rPr>
              <w:t>CapitalMax</w:t>
            </w:r>
          </w:p>
        </w:tc>
        <w:tc>
          <w:tcPr>
            <w:tcW w:type="dxa" w:w="1332"/>
            <w:vAlign w:val="center"/>
            <w:shd w:fill="D9EAF7"/>
          </w:tcPr>
          <w:p>
            <w:r/>
            <w:r>
              <w:rPr>
                <w:b/>
                <w:sz w:val="14"/>
              </w:rPr>
              <w:t>CapitalEnd</w:t>
            </w:r>
          </w:p>
        </w:tc>
        <w:tc>
          <w:tcPr>
            <w:tcW w:type="dxa" w:w="1332"/>
            <w:vAlign w:val="center"/>
            <w:shd w:fill="D9EAF7"/>
          </w:tcPr>
          <w:p>
            <w:r/>
            <w:r>
              <w:rPr>
                <w:b/>
                <w:sz w:val="14"/>
              </w:rPr>
              <w:t>Updates</w:t>
            </w:r>
          </w:p>
        </w:tc>
        <w:tc>
          <w:tcPr>
            <w:tcW w:type="dxa" w:w="1332"/>
            <w:vAlign w:val="center"/>
            <w:shd w:fill="D9EAF7"/>
          </w:tcPr>
          <w:p>
            <w:r/>
            <w:r>
              <w:rPr>
                <w:b/>
                <w:sz w:val="14"/>
              </w:rPr>
              <w:t>Evaluated</w:t>
            </w:r>
          </w:p>
        </w:tc>
        <w:tc>
          <w:tcPr>
            <w:tcW w:type="dxa" w:w="1332"/>
            <w:vAlign w:val="center"/>
            <w:shd w:fill="D9EAF7"/>
          </w:tcPr>
          <w:p>
            <w:r/>
            <w:r>
              <w:rPr>
                <w:b/>
                <w:sz w:val="14"/>
              </w:rPr>
              <w:t>Application</w:t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2026-01-01 → 2026-01-30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50.00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50.00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895.09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899.43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492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492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100%</w:t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2026-02-01 → 2026-02-27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50.00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44.74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1359.11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1362.24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488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488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100%</w:t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2026-03-01 → 2026-03-31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50.00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50.00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1944.10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1939.39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628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628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100%</w:t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2026-04-01 → 2026-04-30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50.00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50.00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1156.69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1152.45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536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536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100%</w:t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2026-05-01 → 2026-05-14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50.00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46.80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806.37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809.45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258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258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100%</w:t>
            </w:r>
          </w:p>
        </w:tc>
      </w:tr>
    </w:tbl>
    <w:p/>
    <w:p>
      <w:pPr>
        <w:pStyle w:val="Heading1"/>
      </w:pPr>
      <w:r>
        <w:t>4. Single Trade Loss Cap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  <w:vAlign w:val="center"/>
            <w:shd w:fill="D9EAF7"/>
          </w:tcPr>
          <w:p>
            <w:r/>
            <w:r>
              <w:rPr>
                <w:b/>
                <w:sz w:val="13"/>
              </w:rPr>
              <w:t>Window</w:t>
            </w:r>
          </w:p>
        </w:tc>
        <w:tc>
          <w:tcPr>
            <w:tcW w:type="dxa" w:w="1184"/>
            <w:vAlign w:val="center"/>
            <w:shd w:fill="D9EAF7"/>
          </w:tcPr>
          <w:p>
            <w:r/>
            <w:r>
              <w:rPr>
                <w:b/>
                <w:sz w:val="13"/>
              </w:rPr>
              <w:t>Allowed</w:t>
            </w:r>
          </w:p>
        </w:tc>
        <w:tc>
          <w:tcPr>
            <w:tcW w:type="dxa" w:w="1184"/>
            <w:vAlign w:val="center"/>
            <w:shd w:fill="D9EAF7"/>
          </w:tcPr>
          <w:p>
            <w:r/>
            <w:r>
              <w:rPr>
                <w:b/>
                <w:sz w:val="13"/>
              </w:rPr>
              <w:t>Blocked</w:t>
            </w:r>
          </w:p>
        </w:tc>
        <w:tc>
          <w:tcPr>
            <w:tcW w:type="dxa" w:w="1184"/>
            <w:vAlign w:val="center"/>
            <w:shd w:fill="D9EAF7"/>
          </w:tcPr>
          <w:p>
            <w:r/>
            <w:r>
              <w:rPr>
                <w:b/>
                <w:sz w:val="13"/>
              </w:rPr>
              <w:t>StrictBreaches</w:t>
            </w:r>
          </w:p>
        </w:tc>
        <w:tc>
          <w:tcPr>
            <w:tcW w:type="dxa" w:w="1184"/>
            <w:vAlign w:val="center"/>
            <w:shd w:fill="D9EAF7"/>
          </w:tcPr>
          <w:p>
            <w:r/>
            <w:r>
              <w:rPr>
                <w:b/>
                <w:sz w:val="13"/>
              </w:rPr>
              <w:t>DynamicBlocks</w:t>
            </w:r>
          </w:p>
        </w:tc>
        <w:tc>
          <w:tcPr>
            <w:tcW w:type="dxa" w:w="1184"/>
            <w:vAlign w:val="center"/>
            <w:shd w:fill="D9EAF7"/>
          </w:tcPr>
          <w:p>
            <w:r/>
            <w:r>
              <w:rPr>
                <w:b/>
                <w:sz w:val="13"/>
              </w:rPr>
              <w:t>CapPctMax</w:t>
            </w:r>
          </w:p>
        </w:tc>
        <w:tc>
          <w:tcPr>
            <w:tcW w:type="dxa" w:w="1184"/>
            <w:vAlign w:val="center"/>
            <w:shd w:fill="D9EAF7"/>
          </w:tcPr>
          <w:p>
            <w:r/>
            <w:r>
              <w:rPr>
                <w:b/>
                <w:sz w:val="13"/>
              </w:rPr>
              <w:t>CapImpactUSD</w:t>
            </w:r>
          </w:p>
        </w:tc>
        <w:tc>
          <w:tcPr>
            <w:tcW w:type="dxa" w:w="1184"/>
            <w:vAlign w:val="center"/>
            <w:shd w:fill="D9EAF7"/>
          </w:tcPr>
          <w:p>
            <w:r/>
            <w:r>
              <w:rPr>
                <w:b/>
                <w:sz w:val="13"/>
              </w:rPr>
              <w:t>RejectedProfitUSD</w:t>
            </w:r>
          </w:p>
        </w:tc>
        <w:tc>
          <w:tcPr>
            <w:tcW w:type="dxa" w:w="1184"/>
            <w:vAlign w:val="center"/>
            <w:shd w:fill="D9EAF7"/>
          </w:tcPr>
          <w:p>
            <w:r/>
            <w:r>
              <w:rPr>
                <w:b/>
                <w:sz w:val="13"/>
              </w:rPr>
              <w:t>RejectedLossUSD</w:t>
            </w:r>
          </w:p>
        </w:tc>
      </w:tr>
      <w:tr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2026-01-01 → 2026-01-30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492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55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50.00%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0.00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0.00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0.00</w:t>
            </w:r>
          </w:p>
        </w:tc>
      </w:tr>
      <w:tr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2026-02-01 → 2026-02-27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488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31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50.00%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0.00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0.00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0.00</w:t>
            </w:r>
          </w:p>
        </w:tc>
      </w:tr>
      <w:tr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2026-03-01 → 2026-03-31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628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50.00%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0.00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0.00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0.00</w:t>
            </w:r>
          </w:p>
        </w:tc>
      </w:tr>
      <w:tr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2026-04-01 → 2026-04-30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536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50.00%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0.00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0.00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0.00</w:t>
            </w:r>
          </w:p>
        </w:tc>
      </w:tr>
      <w:tr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2026-05-01 → 2026-05-14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258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42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50.00%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0.00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0.00</w:t>
            </w:r>
          </w:p>
        </w:tc>
        <w:tc>
          <w:tcPr>
            <w:tcW w:type="dxa" w:w="1184"/>
            <w:vAlign w:val="center"/>
          </w:tcPr>
          <w:p>
            <w:r/>
            <w:r>
              <w:rPr>
                <w:b w:val="0"/>
                <w:sz w:val="13"/>
              </w:rPr>
              <w:t>0.00</w:t>
            </w:r>
          </w:p>
        </w:tc>
      </w:tr>
    </w:tbl>
    <w:p/>
    <w:p>
      <w:pPr>
        <w:pStyle w:val="Heading1"/>
      </w:pPr>
      <w:r>
        <w:t>5. Safety Invariants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  <w:vAlign w:val="center"/>
            <w:shd w:fill="D9EAF7"/>
          </w:tcPr>
          <w:p>
            <w:r/>
            <w:r>
              <w:rPr>
                <w:b/>
                <w:sz w:val="14"/>
              </w:rPr>
              <w:t>Window</w:t>
            </w:r>
          </w:p>
        </w:tc>
        <w:tc>
          <w:tcPr>
            <w:tcW w:type="dxa" w:w="1332"/>
            <w:vAlign w:val="center"/>
            <w:shd w:fill="D9EAF7"/>
          </w:tcPr>
          <w:p>
            <w:r/>
            <w:r>
              <w:rPr>
                <w:b/>
                <w:sz w:val="14"/>
              </w:rPr>
              <w:t>OrderSend</w:t>
            </w:r>
          </w:p>
        </w:tc>
        <w:tc>
          <w:tcPr>
            <w:tcW w:type="dxa" w:w="1332"/>
            <w:vAlign w:val="center"/>
            <w:shd w:fill="D9EAF7"/>
          </w:tcPr>
          <w:p>
            <w:r/>
            <w:r>
              <w:rPr>
                <w:b/>
                <w:sz w:val="14"/>
              </w:rPr>
              <w:t>BrokerModify</w:t>
            </w:r>
          </w:p>
        </w:tc>
        <w:tc>
          <w:tcPr>
            <w:tcW w:type="dxa" w:w="1332"/>
            <w:vAlign w:val="center"/>
            <w:shd w:fill="D9EAF7"/>
          </w:tcPr>
          <w:p>
            <w:r/>
            <w:r>
              <w:rPr>
                <w:b/>
                <w:sz w:val="14"/>
              </w:rPr>
              <w:t>RuntimeSLChanged</w:t>
            </w:r>
          </w:p>
        </w:tc>
        <w:tc>
          <w:tcPr>
            <w:tcW w:type="dxa" w:w="1332"/>
            <w:vAlign w:val="center"/>
            <w:shd w:fill="D9EAF7"/>
          </w:tcPr>
          <w:p>
            <w:r/>
            <w:r>
              <w:rPr>
                <w:b/>
                <w:sz w:val="14"/>
              </w:rPr>
              <w:t>InvariantBreaches</w:t>
            </w:r>
          </w:p>
        </w:tc>
        <w:tc>
          <w:tcPr>
            <w:tcW w:type="dxa" w:w="1332"/>
            <w:vAlign w:val="center"/>
            <w:shd w:fill="D9EAF7"/>
          </w:tcPr>
          <w:p>
            <w:r/>
            <w:r>
              <w:rPr>
                <w:b/>
                <w:sz w:val="14"/>
              </w:rPr>
              <w:t>Readiness</w:t>
            </w:r>
          </w:p>
        </w:tc>
        <w:tc>
          <w:tcPr>
            <w:tcW w:type="dxa" w:w="1332"/>
            <w:vAlign w:val="center"/>
            <w:shd w:fill="D9EAF7"/>
          </w:tcPr>
          <w:p>
            <w:r/>
            <w:r>
              <w:rPr>
                <w:b/>
                <w:sz w:val="14"/>
              </w:rPr>
              <w:t>Application</w:t>
            </w:r>
          </w:p>
        </w:tc>
        <w:tc>
          <w:tcPr>
            <w:tcW w:type="dxa" w:w="1332"/>
            <w:vAlign w:val="center"/>
            <w:shd w:fill="D9EAF7"/>
          </w:tcPr>
          <w:p>
            <w:r/>
            <w:r>
              <w:rPr>
                <w:b/>
                <w:sz w:val="14"/>
              </w:rPr>
              <w:t>Transition</w:t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2026-01-01 → 2026-01-30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100%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100%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NONE / 0</w:t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2026-02-01 → 2026-02-27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100%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100%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NONE / 0</w:t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2026-03-01 → 2026-03-31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100%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100%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NONE / 0</w:t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2026-04-01 → 2026-04-30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100%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100%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NONE / 0</w:t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2026-05-01 → 2026-05-14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100%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100%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4"/>
              </w:rPr>
              <w:t>NONE / 0</w:t>
            </w:r>
          </w:p>
        </w:tc>
      </w:tr>
    </w:tbl>
    <w:p/>
    <w:p>
      <w:pPr>
        <w:pStyle w:val="Heading1"/>
      </w:pPr>
      <w:r>
        <w:t>6. Locked Interpretation</w:t>
      </w:r>
    </w:p>
    <w:p>
      <w:pPr/>
      <w:r>
        <w:t>Dynamic risk capital starts at 50.00 and updates after every closed Paper trade.</w:t>
      </w:r>
    </w:p>
    <w:p>
      <w:pPr/>
      <w:r>
        <w:t>A trade that is unsafe at 50 USD can become allowed later if Paper capital has grown enough before that trade.</w:t>
      </w:r>
    </w:p>
    <w:p>
      <w:pPr/>
      <w:r>
        <w:t>No automatic tier promotion occurred; AppliedTier remained MICRO and TransitionEvents remained 0.</w:t>
      </w:r>
    </w:p>
    <w:p>
      <w:pPr/>
      <w:r>
        <w:t>Dynamic risk feasibility is immediate and capital-relative, while tier promotion remains performance-earned.</w:t>
      </w:r>
    </w:p>
    <w:p>
      <w:pPr/>
      <w:r>
        <w:t>v0.55.2a restores the April Full baseline to 1102.45 NetUSD and keeps May Fresh at 759.45 NetUSD.</w:t>
      </w:r>
    </w:p>
    <w:p>
      <w:pPr/>
      <w:r>
        <w:t>This closes the Dynamic Capital-Aware Single Trade Loss Cap fix as a Paper Runtime layer.</w:t>
      </w:r>
    </w:p>
    <w:p>
      <w:pPr>
        <w:pStyle w:val="Heading1"/>
      </w:pPr>
      <w:r>
        <w:t>7. Next Step</w:t>
      </w:r>
    </w:p>
    <w:p>
      <w:r>
        <w:t>Do not move to Escalation Detection yet unless the user explicitly chooses to proceed. The next recommended internal step is either a focused LotSizingManager dynamic lot-size design layer, or completion of Capital-Aware reporting files (TierTransitions.csv and EmergencyTriggers.csv), depending on priority. No new strategy should be added before this route is completed.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