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eastAsia="Arial"/>
          <w:b/>
          <w:sz w:val="32"/>
        </w:rPr>
        <w:t>ملف ذاكرة المشروع — JA FalconCore Automated Trading Platform</w:t>
      </w:r>
    </w:p>
    <w:p>
      <w:pPr>
        <w:bidi w:val="1"/>
        <w:jc w:val="right"/>
      </w:pPr>
      <w:r>
        <w:rPr>
          <w:rFonts w:ascii="Arial" w:hAnsi="Arial" w:eastAsia="Arial"/>
          <w:b/>
          <w:sz w:val="24"/>
        </w:rPr>
        <w:t>الإصدار: v0.4.0 — Evidence Framework Foundation</w:t>
      </w:r>
    </w:p>
    <w:p>
      <w:pPr>
        <w:pStyle w:val="Heading1"/>
        <w:bidi w:val="1"/>
        <w:jc w:val="right"/>
      </w:pPr>
      <w:r>
        <w:rPr>
          <w:rFonts w:ascii="Arial" w:hAnsi="Arial" w:eastAsia="Arial"/>
        </w:rPr>
        <w:t>1) هدف المشروع</w:t>
      </w:r>
    </w:p>
    <w:p>
      <w:pPr>
        <w:bidi w:val="1"/>
        <w:jc w:val="right"/>
      </w:pPr>
      <w:r>
        <w:rPr>
          <w:rFonts w:ascii="Arial" w:hAnsi="Arial" w:eastAsia="Arial"/>
          <w:b w:val="0"/>
          <w:sz w:val="21"/>
        </w:rPr>
        <w:t>بناء منصة تداول آلي نظيفة معماريًا باسم JA FalconCore Automated Trading Platform، مبنية على Core مستقل قابل للتوسع، مع فصل واضح بين البيانات، الأدلة، الاستراتيجيات، إدارة المخاطر، إدارة الصفقة، التنفيذ، والتقارير.</w:t>
      </w:r>
    </w:p>
    <w:p>
      <w:pPr>
        <w:pStyle w:val="Heading1"/>
        <w:bidi w:val="1"/>
        <w:jc w:val="right"/>
      </w:pPr>
      <w:r>
        <w:rPr>
          <w:rFonts w:ascii="Arial" w:hAnsi="Arial" w:eastAsia="Arial"/>
        </w:rPr>
        <w:t>2) الحالة الحالية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bidi w:val="1"/>
              <w:jc w:val="right"/>
            </w:pPr>
            <w:r>
              <w:rPr>
                <w:rFonts w:ascii="Arial" w:hAnsi="Arial" w:eastAsia="Arial"/>
                <w:b/>
                <w:sz w:val="19"/>
              </w:rPr>
              <w:t>البند</w:t>
            </w:r>
          </w:p>
        </w:tc>
        <w:tc>
          <w:tcPr>
            <w:tcW w:type="dxa" w:w="5328"/>
            <w:vAlign w:val="center"/>
            <w:shd w:fill="D9EAF7"/>
          </w:tcPr>
          <w:p>
            <w:pPr>
              <w:bidi w:val="1"/>
              <w:jc w:val="right"/>
            </w:pPr>
            <w:r>
              <w:rPr>
                <w:rFonts w:ascii="Arial" w:hAnsi="Arial" w:eastAsia="Arial"/>
                <w:b/>
                <w:sz w:val="19"/>
              </w:rPr>
              <w:t>الحالة</w:t>
            </w:r>
          </w:p>
        </w:tc>
      </w:tr>
      <w:tr>
        <w:tc>
          <w:tcPr>
            <w:tcW w:type="dxa" w:w="5328"/>
            <w:vAlign w:val="center"/>
          </w:tcPr>
          <w:p>
            <w:pPr>
              <w:bidi w:val="1"/>
              <w:jc w:val="right"/>
            </w:pPr>
            <w:r>
              <w:rPr>
                <w:rFonts w:ascii="Arial" w:hAnsi="Arial" w:eastAsia="Arial"/>
                <w:sz w:val="18"/>
              </w:rPr>
              <w:t>آخر إصدار مقفل</w:t>
            </w:r>
          </w:p>
        </w:tc>
        <w:tc>
          <w:tcPr>
            <w:tcW w:type="dxa" w:w="5328"/>
            <w:vAlign w:val="center"/>
          </w:tcPr>
          <w:p>
            <w:pPr>
              <w:bidi w:val="1"/>
              <w:jc w:val="right"/>
            </w:pPr>
            <w:r>
              <w:rPr>
                <w:rFonts w:ascii="Arial" w:hAnsi="Arial" w:eastAsia="Arial"/>
                <w:sz w:val="18"/>
              </w:rPr>
              <w:t>v0.3.0 — Multi-Timeframe Candle Cache Locked</w:t>
            </w:r>
          </w:p>
        </w:tc>
      </w:tr>
      <w:tr>
        <w:tc>
          <w:tcPr>
            <w:tcW w:type="dxa" w:w="5328"/>
            <w:vAlign w:val="center"/>
          </w:tcPr>
          <w:p>
            <w:pPr>
              <w:bidi w:val="1"/>
              <w:jc w:val="right"/>
            </w:pPr>
            <w:r>
              <w:rPr>
                <w:rFonts w:ascii="Arial" w:hAnsi="Arial" w:eastAsia="Arial"/>
                <w:sz w:val="18"/>
              </w:rPr>
              <w:t>الإصدار الحالي</w:t>
            </w:r>
          </w:p>
        </w:tc>
        <w:tc>
          <w:tcPr>
            <w:tcW w:type="dxa" w:w="5328"/>
            <w:vAlign w:val="center"/>
          </w:tcPr>
          <w:p>
            <w:pPr>
              <w:bidi w:val="1"/>
              <w:jc w:val="right"/>
            </w:pPr>
            <w:r>
              <w:rPr>
                <w:rFonts w:ascii="Arial" w:hAnsi="Arial" w:eastAsia="Arial"/>
                <w:sz w:val="18"/>
              </w:rPr>
              <w:t>v0.4.0 — Evidence Framework Foundation</w:t>
            </w:r>
          </w:p>
        </w:tc>
      </w:tr>
      <w:tr>
        <w:tc>
          <w:tcPr>
            <w:tcW w:type="dxa" w:w="5328"/>
            <w:vAlign w:val="center"/>
          </w:tcPr>
          <w:p>
            <w:pPr>
              <w:bidi w:val="1"/>
              <w:jc w:val="right"/>
            </w:pPr>
            <w:r>
              <w:rPr>
                <w:rFonts w:ascii="Arial" w:hAnsi="Arial" w:eastAsia="Arial"/>
                <w:sz w:val="18"/>
              </w:rPr>
              <w:t>التنفيذ الحقيقي</w:t>
            </w:r>
          </w:p>
        </w:tc>
        <w:tc>
          <w:tcPr>
            <w:tcW w:type="dxa" w:w="5328"/>
            <w:vAlign w:val="center"/>
          </w:tcPr>
          <w:p>
            <w:pPr>
              <w:bidi w:val="1"/>
              <w:jc w:val="right"/>
            </w:pPr>
            <w:r>
              <w:rPr>
                <w:rFonts w:ascii="Arial" w:hAnsi="Arial" w:eastAsia="Arial"/>
                <w:sz w:val="18"/>
              </w:rPr>
              <w:t>مغلق بالكامل</w:t>
            </w:r>
          </w:p>
        </w:tc>
      </w:tr>
      <w:tr>
        <w:tc>
          <w:tcPr>
            <w:tcW w:type="dxa" w:w="5328"/>
            <w:vAlign w:val="center"/>
          </w:tcPr>
          <w:p>
            <w:pPr>
              <w:bidi w:val="1"/>
              <w:jc w:val="right"/>
            </w:pPr>
            <w:r>
              <w:rPr>
                <w:rFonts w:ascii="Arial" w:hAnsi="Arial" w:eastAsia="Arial"/>
                <w:sz w:val="18"/>
              </w:rPr>
              <w:t>OrderSend</w:t>
            </w:r>
          </w:p>
        </w:tc>
        <w:tc>
          <w:tcPr>
            <w:tcW w:type="dxa" w:w="5328"/>
            <w:vAlign w:val="center"/>
          </w:tcPr>
          <w:p>
            <w:pPr>
              <w:bidi w:val="1"/>
              <w:jc w:val="right"/>
            </w:pPr>
            <w:r>
              <w:rPr>
                <w:rFonts w:ascii="Arial" w:hAnsi="Arial" w:eastAsia="Arial"/>
                <w:sz w:val="18"/>
              </w:rPr>
              <w:t>غير موجود</w:t>
            </w:r>
          </w:p>
        </w:tc>
      </w:tr>
      <w:tr>
        <w:tc>
          <w:tcPr>
            <w:tcW w:type="dxa" w:w="5328"/>
            <w:vAlign w:val="center"/>
          </w:tcPr>
          <w:p>
            <w:pPr>
              <w:bidi w:val="1"/>
              <w:jc w:val="right"/>
            </w:pPr>
            <w:r>
              <w:rPr>
                <w:rFonts w:ascii="Arial" w:hAnsi="Arial" w:eastAsia="Arial"/>
                <w:sz w:val="18"/>
              </w:rPr>
              <w:t>الاستراتيجيات</w:t>
            </w:r>
          </w:p>
        </w:tc>
        <w:tc>
          <w:tcPr>
            <w:tcW w:type="dxa" w:w="5328"/>
            <w:vAlign w:val="center"/>
          </w:tcPr>
          <w:p>
            <w:pPr>
              <w:bidi w:val="1"/>
              <w:jc w:val="right"/>
            </w:pPr>
            <w:r>
              <w:rPr>
                <w:rFonts w:ascii="Arial" w:hAnsi="Arial" w:eastAsia="Arial"/>
                <w:sz w:val="18"/>
              </w:rPr>
              <w:t>كلها غير منفذة حتى الآن</w:t>
            </w:r>
          </w:p>
        </w:tc>
      </w:tr>
      <w:tr>
        <w:tc>
          <w:tcPr>
            <w:tcW w:type="dxa" w:w="5328"/>
            <w:vAlign w:val="center"/>
          </w:tcPr>
          <w:p>
            <w:pPr>
              <w:bidi w:val="1"/>
              <w:jc w:val="right"/>
            </w:pPr>
            <w:r>
              <w:rPr>
                <w:rFonts w:ascii="Arial" w:hAnsi="Arial" w:eastAsia="Arial"/>
                <w:sz w:val="18"/>
              </w:rPr>
              <w:t>الفريمات الرسمية</w:t>
            </w:r>
          </w:p>
        </w:tc>
        <w:tc>
          <w:tcPr>
            <w:tcW w:type="dxa" w:w="5328"/>
            <w:vAlign w:val="center"/>
          </w:tcPr>
          <w:p>
            <w:pPr>
              <w:bidi w:val="1"/>
              <w:jc w:val="right"/>
            </w:pPr>
            <w:r>
              <w:rPr>
                <w:rFonts w:ascii="Arial" w:hAnsi="Arial" w:eastAsia="Arial"/>
                <w:sz w:val="18"/>
              </w:rPr>
              <w:t>M1, M5, M15, H1, H4, D1</w:t>
            </w:r>
          </w:p>
        </w:tc>
      </w:tr>
      <w:tr>
        <w:tc>
          <w:tcPr>
            <w:tcW w:type="dxa" w:w="5328"/>
            <w:vAlign w:val="center"/>
          </w:tcPr>
          <w:p>
            <w:pPr>
              <w:bidi w:val="1"/>
              <w:jc w:val="right"/>
            </w:pPr>
            <w:r>
              <w:rPr>
                <w:rFonts w:ascii="Arial" w:hAnsi="Arial" w:eastAsia="Arial"/>
                <w:sz w:val="18"/>
              </w:rPr>
              <w:t>الإضافة الجديدة</w:t>
            </w:r>
          </w:p>
        </w:tc>
        <w:tc>
          <w:tcPr>
            <w:tcW w:type="dxa" w:w="5328"/>
            <w:vAlign w:val="center"/>
          </w:tcPr>
          <w:p>
            <w:pPr>
              <w:bidi w:val="1"/>
              <w:jc w:val="right"/>
            </w:pPr>
            <w:r>
              <w:rPr>
                <w:rFonts w:ascii="Arial" w:hAnsi="Arial" w:eastAsia="Arial"/>
                <w:sz w:val="18"/>
              </w:rPr>
              <w:t>Evidence contracts + Evidence diagnostics report</w:t>
            </w:r>
          </w:p>
        </w:tc>
      </w:tr>
    </w:tbl>
    <w:p>
      <w:pPr>
        <w:pStyle w:val="Heading1"/>
        <w:bidi w:val="1"/>
        <w:jc w:val="right"/>
      </w:pPr>
      <w:r>
        <w:rPr>
          <w:rFonts w:ascii="Arial" w:hAnsi="Arial" w:eastAsia="Arial"/>
        </w:rPr>
        <w:t>3) ما أضيف في v0.4.0</w:t>
      </w:r>
    </w:p>
    <w:p>
      <w:pPr>
        <w:bidi w:val="1"/>
        <w:jc w:val="right"/>
      </w:pPr>
      <w:r>
        <w:rPr>
          <w:rFonts w:ascii="Arial" w:hAnsi="Arial" w:eastAsia="Arial"/>
          <w:sz w:val="21"/>
        </w:rPr>
        <w:t>• إضافة ENUM_FALCON_EVIDENCE_TYPE.</w:t>
      </w:r>
    </w:p>
    <w:p>
      <w:pPr>
        <w:bidi w:val="1"/>
        <w:jc w:val="right"/>
      </w:pPr>
      <w:r>
        <w:rPr>
          <w:rFonts w:ascii="Arial" w:hAnsi="Arial" w:eastAsia="Arial"/>
          <w:sz w:val="21"/>
        </w:rPr>
        <w:t>• إضافة ENUM_FALCON_EVIDENCE_STATE.</w:t>
      </w:r>
    </w:p>
    <w:p>
      <w:pPr>
        <w:bidi w:val="1"/>
        <w:jc w:val="right"/>
      </w:pPr>
      <w:r>
        <w:rPr>
          <w:rFonts w:ascii="Arial" w:hAnsi="Arial" w:eastAsia="Arial"/>
          <w:sz w:val="21"/>
        </w:rPr>
        <w:t>• إضافة FalconEvidenceRecord.</w:t>
      </w:r>
    </w:p>
    <w:p>
      <w:pPr>
        <w:bidi w:val="1"/>
        <w:jc w:val="right"/>
      </w:pPr>
      <w:r>
        <w:rPr>
          <w:rFonts w:ascii="Arial" w:hAnsi="Arial" w:eastAsia="Arial"/>
          <w:sz w:val="21"/>
        </w:rPr>
        <w:t>• إضافة CFalconEvidenceFramework.</w:t>
      </w:r>
    </w:p>
    <w:p>
      <w:pPr>
        <w:bidi w:val="1"/>
        <w:jc w:val="right"/>
      </w:pPr>
      <w:r>
        <w:rPr>
          <w:rFonts w:ascii="Arial" w:hAnsi="Arial" w:eastAsia="Arial"/>
          <w:sz w:val="21"/>
        </w:rPr>
        <w:t>• إضافة BuildEmptyEvidencePack كحزمة أدلة فارغة آمنة.</w:t>
      </w:r>
    </w:p>
    <w:p>
      <w:pPr>
        <w:bidi w:val="1"/>
        <w:jc w:val="right"/>
      </w:pPr>
      <w:r>
        <w:rPr>
          <w:rFonts w:ascii="Arial" w:hAnsi="Arial" w:eastAsia="Arial"/>
          <w:sz w:val="21"/>
        </w:rPr>
        <w:t>• إضافة تقرير JA_FalconCore_EvidenceDiagnostics_v0_4_0.csv.</w:t>
      </w:r>
    </w:p>
    <w:p>
      <w:pPr>
        <w:bidi w:val="1"/>
        <w:jc w:val="right"/>
      </w:pPr>
      <w:r>
        <w:rPr>
          <w:rFonts w:ascii="Arial" w:hAnsi="Arial" w:eastAsia="Arial"/>
          <w:sz w:val="21"/>
        </w:rPr>
        <w:t>• تأكيد أن Evidence لا تفتح صفقة ولا تتجاوز Guard.</w:t>
      </w:r>
    </w:p>
    <w:p>
      <w:pPr>
        <w:pStyle w:val="Heading1"/>
        <w:bidi w:val="1"/>
        <w:jc w:val="right"/>
      </w:pPr>
      <w:r>
        <w:rPr>
          <w:rFonts w:ascii="Arial" w:hAnsi="Arial" w:eastAsia="Arial"/>
        </w:rPr>
        <w:t>4) طبقات Evidence الرسمية</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bidi w:val="1"/>
              <w:jc w:val="right"/>
            </w:pPr>
            <w:r>
              <w:rPr>
                <w:rFonts w:ascii="Arial" w:hAnsi="Arial" w:eastAsia="Arial"/>
                <w:b/>
                <w:sz w:val="19"/>
              </w:rPr>
              <w:t>الطبقة</w:t>
            </w:r>
          </w:p>
        </w:tc>
        <w:tc>
          <w:tcPr>
            <w:tcW w:type="dxa" w:w="3552"/>
            <w:vAlign w:val="center"/>
            <w:shd w:fill="D9EAF7"/>
          </w:tcPr>
          <w:p>
            <w:pPr>
              <w:bidi w:val="1"/>
              <w:jc w:val="right"/>
            </w:pPr>
            <w:r>
              <w:rPr>
                <w:rFonts w:ascii="Arial" w:hAnsi="Arial" w:eastAsia="Arial"/>
                <w:b/>
                <w:sz w:val="19"/>
              </w:rPr>
              <w:t>الوضع في v0.4.0</w:t>
            </w:r>
          </w:p>
        </w:tc>
        <w:tc>
          <w:tcPr>
            <w:tcW w:type="dxa" w:w="3552"/>
            <w:vAlign w:val="center"/>
            <w:shd w:fill="D9EAF7"/>
          </w:tcPr>
          <w:p>
            <w:pPr>
              <w:bidi w:val="1"/>
              <w:jc w:val="right"/>
            </w:pPr>
            <w:r>
              <w:rPr>
                <w:rFonts w:ascii="Arial" w:hAnsi="Arial" w:eastAsia="Arial"/>
                <w:b/>
                <w:sz w:val="19"/>
              </w:rPr>
              <w:t>ملاحظات</w:t>
            </w:r>
          </w:p>
        </w:tc>
      </w:tr>
      <w:tr>
        <w:tc>
          <w:tcPr>
            <w:tcW w:type="dxa" w:w="3552"/>
            <w:vAlign w:val="center"/>
          </w:tcPr>
          <w:p>
            <w:pPr>
              <w:bidi w:val="1"/>
              <w:jc w:val="right"/>
            </w:pPr>
            <w:r>
              <w:rPr>
                <w:rFonts w:ascii="Arial" w:hAnsi="Arial" w:eastAsia="Arial"/>
                <w:sz w:val="18"/>
              </w:rPr>
              <w:t>Candle Pattern Evidence</w:t>
            </w:r>
          </w:p>
        </w:tc>
        <w:tc>
          <w:tcPr>
            <w:tcW w:type="dxa" w:w="3552"/>
            <w:vAlign w:val="center"/>
          </w:tcPr>
          <w:p>
            <w:pPr>
              <w:bidi w:val="1"/>
              <w:jc w:val="right"/>
            </w:pPr>
            <w:r>
              <w:rPr>
                <w:rFonts w:ascii="Arial" w:hAnsi="Arial" w:eastAsia="Arial"/>
                <w:sz w:val="18"/>
              </w:rPr>
              <w:t>Contract فقط</w:t>
            </w:r>
          </w:p>
        </w:tc>
        <w:tc>
          <w:tcPr>
            <w:tcW w:type="dxa" w:w="3552"/>
            <w:vAlign w:val="center"/>
          </w:tcPr>
          <w:p>
            <w:pPr>
              <w:bidi w:val="1"/>
              <w:jc w:val="right"/>
            </w:pPr>
            <w:r>
              <w:rPr>
                <w:rFonts w:ascii="Arial" w:hAnsi="Arial" w:eastAsia="Arial"/>
                <w:sz w:val="18"/>
              </w:rPr>
              <w:t>Engulfing, pin bar, hammer, shooting star, wide body, inside/outside bar, three-bar reversal</w:t>
            </w:r>
          </w:p>
        </w:tc>
      </w:tr>
      <w:tr>
        <w:tc>
          <w:tcPr>
            <w:tcW w:type="dxa" w:w="3552"/>
            <w:vAlign w:val="center"/>
          </w:tcPr>
          <w:p>
            <w:pPr>
              <w:bidi w:val="1"/>
              <w:jc w:val="right"/>
            </w:pPr>
            <w:r>
              <w:rPr>
                <w:rFonts w:ascii="Arial" w:hAnsi="Arial" w:eastAsia="Arial"/>
                <w:sz w:val="18"/>
              </w:rPr>
              <w:t>Chart Pattern Evidence</w:t>
            </w:r>
          </w:p>
        </w:tc>
        <w:tc>
          <w:tcPr>
            <w:tcW w:type="dxa" w:w="3552"/>
            <w:vAlign w:val="center"/>
          </w:tcPr>
          <w:p>
            <w:pPr>
              <w:bidi w:val="1"/>
              <w:jc w:val="right"/>
            </w:pPr>
            <w:r>
              <w:rPr>
                <w:rFonts w:ascii="Arial" w:hAnsi="Arial" w:eastAsia="Arial"/>
                <w:sz w:val="18"/>
              </w:rPr>
              <w:t>Contract فقط</w:t>
            </w:r>
          </w:p>
        </w:tc>
        <w:tc>
          <w:tcPr>
            <w:tcW w:type="dxa" w:w="3552"/>
            <w:vAlign w:val="center"/>
          </w:tcPr>
          <w:p>
            <w:pPr>
              <w:bidi w:val="1"/>
              <w:jc w:val="right"/>
            </w:pPr>
            <w:r>
              <w:rPr>
                <w:rFonts w:ascii="Arial" w:hAnsi="Arial" w:eastAsia="Arial"/>
                <w:sz w:val="18"/>
              </w:rPr>
              <w:t>Double top/bottom, H&amp;S, flag, wedge, triangle, range break/retest, channel break, sweep/reclaim</w:t>
            </w:r>
          </w:p>
        </w:tc>
      </w:tr>
      <w:tr>
        <w:tc>
          <w:tcPr>
            <w:tcW w:type="dxa" w:w="3552"/>
            <w:vAlign w:val="center"/>
          </w:tcPr>
          <w:p>
            <w:pPr>
              <w:bidi w:val="1"/>
              <w:jc w:val="right"/>
            </w:pPr>
            <w:r>
              <w:rPr>
                <w:rFonts w:ascii="Arial" w:hAnsi="Arial" w:eastAsia="Arial"/>
                <w:sz w:val="18"/>
              </w:rPr>
              <w:t>Objective Indicator Evidence</w:t>
            </w:r>
          </w:p>
        </w:tc>
        <w:tc>
          <w:tcPr>
            <w:tcW w:type="dxa" w:w="3552"/>
            <w:vAlign w:val="center"/>
          </w:tcPr>
          <w:p>
            <w:pPr>
              <w:bidi w:val="1"/>
              <w:jc w:val="right"/>
            </w:pPr>
            <w:r>
              <w:rPr>
                <w:rFonts w:ascii="Arial" w:hAnsi="Arial" w:eastAsia="Arial"/>
                <w:sz w:val="18"/>
              </w:rPr>
              <w:t>Contract فقط</w:t>
            </w:r>
          </w:p>
        </w:tc>
        <w:tc>
          <w:tcPr>
            <w:tcW w:type="dxa" w:w="3552"/>
            <w:vAlign w:val="center"/>
          </w:tcPr>
          <w:p>
            <w:pPr>
              <w:bidi w:val="1"/>
              <w:jc w:val="right"/>
            </w:pPr>
            <w:r>
              <w:rPr>
                <w:rFonts w:ascii="Arial" w:hAnsi="Arial" w:eastAsia="Arial"/>
                <w:sz w:val="18"/>
              </w:rPr>
              <w:t>VWAP, EMA 7/25/50/200, ATR, RSI closed candle, session levels, previous day levels, FVG, tick volume</w:t>
            </w:r>
          </w:p>
        </w:tc>
      </w:tr>
      <w:tr>
        <w:tc>
          <w:tcPr>
            <w:tcW w:type="dxa" w:w="3552"/>
            <w:vAlign w:val="center"/>
          </w:tcPr>
          <w:p>
            <w:pPr>
              <w:bidi w:val="1"/>
              <w:jc w:val="right"/>
            </w:pPr>
            <w:r>
              <w:rPr>
                <w:rFonts w:ascii="Arial" w:hAnsi="Arial" w:eastAsia="Arial"/>
                <w:sz w:val="18"/>
              </w:rPr>
              <w:t>SMC / Liquidity Evidence</w:t>
            </w:r>
          </w:p>
        </w:tc>
        <w:tc>
          <w:tcPr>
            <w:tcW w:type="dxa" w:w="3552"/>
            <w:vAlign w:val="center"/>
          </w:tcPr>
          <w:p>
            <w:pPr>
              <w:bidi w:val="1"/>
              <w:jc w:val="right"/>
            </w:pPr>
            <w:r>
              <w:rPr>
                <w:rFonts w:ascii="Arial" w:hAnsi="Arial" w:eastAsia="Arial"/>
                <w:sz w:val="18"/>
              </w:rPr>
              <w:t>Contract فقط</w:t>
            </w:r>
          </w:p>
        </w:tc>
        <w:tc>
          <w:tcPr>
            <w:tcW w:type="dxa" w:w="3552"/>
            <w:vAlign w:val="center"/>
          </w:tcPr>
          <w:p>
            <w:pPr>
              <w:bidi w:val="1"/>
              <w:jc w:val="right"/>
            </w:pPr>
            <w:r>
              <w:rPr>
                <w:rFonts w:ascii="Arial" w:hAnsi="Arial" w:eastAsia="Arial"/>
                <w:sz w:val="18"/>
              </w:rPr>
              <w:t>Sweep, reclaim, FVG/imbalance, displacement, BOS/CHoCH, premium/discount, HTF/LTF alignment</w:t>
            </w:r>
          </w:p>
        </w:tc>
      </w:tr>
    </w:tbl>
    <w:p>
      <w:pPr>
        <w:pStyle w:val="Heading1"/>
        <w:bidi w:val="1"/>
        <w:jc w:val="right"/>
      </w:pPr>
      <w:r>
        <w:rPr>
          <w:rFonts w:ascii="Arial" w:hAnsi="Arial" w:eastAsia="Arial"/>
        </w:rPr>
        <w:t>5) القواعد المهمة</w:t>
      </w:r>
    </w:p>
    <w:p>
      <w:pPr>
        <w:bidi w:val="1"/>
        <w:jc w:val="right"/>
      </w:pPr>
      <w:r>
        <w:rPr>
          <w:rFonts w:ascii="Arial" w:hAnsi="Arial" w:eastAsia="Arial"/>
          <w:sz w:val="21"/>
        </w:rPr>
        <w:t>• Evidence is not permission: الأدلة تقوي أو تضعف القرار فقط ولا تفتح صفقة وحدها.</w:t>
      </w:r>
    </w:p>
    <w:p>
      <w:pPr>
        <w:bidi w:val="1"/>
        <w:jc w:val="right"/>
      </w:pPr>
      <w:r>
        <w:rPr>
          <w:rFonts w:ascii="Arial" w:hAnsi="Arial" w:eastAsia="Arial"/>
          <w:sz w:val="21"/>
        </w:rPr>
        <w:t>• SMC is evidence, not permission.</w:t>
      </w:r>
    </w:p>
    <w:p>
      <w:pPr>
        <w:bidi w:val="1"/>
        <w:jc w:val="right"/>
      </w:pPr>
      <w:r>
        <w:rPr>
          <w:rFonts w:ascii="Arial" w:hAnsi="Arial" w:eastAsia="Arial"/>
          <w:sz w:val="21"/>
        </w:rPr>
        <w:t>• Pattern is evidence, not permission.</w:t>
      </w:r>
    </w:p>
    <w:p>
      <w:pPr>
        <w:bidi w:val="1"/>
        <w:jc w:val="right"/>
      </w:pPr>
      <w:r>
        <w:rPr>
          <w:rFonts w:ascii="Arial" w:hAnsi="Arial" w:eastAsia="Arial"/>
          <w:sz w:val="21"/>
        </w:rPr>
        <w:t>• لا يوجد تنفيذ حقيقي قبل Shadow ثم Paper ثم Demo ثم Candidate.</w:t>
      </w:r>
    </w:p>
    <w:p>
      <w:pPr>
        <w:bidi w:val="1"/>
        <w:jc w:val="right"/>
      </w:pPr>
      <w:r>
        <w:rPr>
          <w:rFonts w:ascii="Arial" w:hAnsi="Arial" w:eastAsia="Arial"/>
          <w:sz w:val="21"/>
        </w:rPr>
        <w:t>• لا استخدام للشمعة الحالية في قرارات التحليل عند UseClosedCandlesOnly=true.</w:t>
      </w:r>
    </w:p>
    <w:p>
      <w:pPr>
        <w:bidi w:val="1"/>
        <w:jc w:val="right"/>
      </w:pPr>
      <w:r>
        <w:rPr>
          <w:rFonts w:ascii="Arial" w:hAnsi="Arial" w:eastAsia="Arial"/>
          <w:sz w:val="21"/>
        </w:rPr>
        <w:t>• لا Lookahead ولا Final-state dependency.</w:t>
      </w:r>
    </w:p>
    <w:p>
      <w:pPr>
        <w:bidi w:val="1"/>
        <w:jc w:val="right"/>
      </w:pPr>
      <w:r>
        <w:rPr>
          <w:rFonts w:ascii="Arial" w:hAnsi="Arial" w:eastAsia="Arial"/>
          <w:sz w:val="21"/>
        </w:rPr>
        <w:t>• لا OrderSend قبل المراحل التنفيذية الرسمية.</w:t>
      </w:r>
    </w:p>
    <w:p>
      <w:pPr>
        <w:pStyle w:val="Heading1"/>
        <w:bidi w:val="1"/>
        <w:jc w:val="right"/>
      </w:pPr>
      <w:r>
        <w:rPr>
          <w:rFonts w:ascii="Arial" w:hAnsi="Arial" w:eastAsia="Arial"/>
        </w:rPr>
        <w:t>6) المعمارية الحالية المختصرة</w:t>
      </w:r>
    </w:p>
    <w:p>
      <w:pPr>
        <w:bidi w:val="1"/>
        <w:jc w:val="right"/>
      </w:pPr>
      <w:r>
        <w:rPr>
          <w:rFonts w:ascii="Arial" w:hAnsi="Arial" w:eastAsia="Arial"/>
          <w:b w:val="0"/>
          <w:sz w:val="21"/>
        </w:rPr>
        <w:t>Market Context → Candle Cache → Evidence Framework → Strategy Registry → Report Writer → Execution Guard. الاستراتيجيات لم تبدأ بعد، والتقرير مهيأ فقط للتشخيص واستقبال البيانات مستقبلًا.</w:t>
      </w:r>
    </w:p>
    <w:p>
      <w:pPr>
        <w:pStyle w:val="Heading1"/>
        <w:bidi w:val="1"/>
        <w:jc w:val="right"/>
      </w:pPr>
      <w:r>
        <w:rPr>
          <w:rFonts w:ascii="Arial" w:hAnsi="Arial" w:eastAsia="Arial"/>
        </w:rPr>
        <w:t>7) التقارير الحالية</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pPr>
              <w:bidi w:val="1"/>
              <w:jc w:val="right"/>
            </w:pPr>
            <w:r>
              <w:rPr>
                <w:rFonts w:ascii="Arial" w:hAnsi="Arial" w:eastAsia="Arial"/>
                <w:b/>
                <w:sz w:val="19"/>
              </w:rPr>
              <w:t>التقرير</w:t>
            </w:r>
          </w:p>
        </w:tc>
        <w:tc>
          <w:tcPr>
            <w:tcW w:type="dxa" w:w="5328"/>
            <w:vAlign w:val="center"/>
            <w:shd w:fill="D9EAF7"/>
          </w:tcPr>
          <w:p>
            <w:pPr>
              <w:bidi w:val="1"/>
              <w:jc w:val="right"/>
            </w:pPr>
            <w:r>
              <w:rPr>
                <w:rFonts w:ascii="Arial" w:hAnsi="Arial" w:eastAsia="Arial"/>
                <w:b/>
                <w:sz w:val="19"/>
              </w:rPr>
              <w:t>الغرض</w:t>
            </w:r>
          </w:p>
        </w:tc>
      </w:tr>
      <w:tr>
        <w:tc>
          <w:tcPr>
            <w:tcW w:type="dxa" w:w="5328"/>
            <w:vAlign w:val="center"/>
          </w:tcPr>
          <w:p>
            <w:pPr>
              <w:bidi w:val="1"/>
              <w:jc w:val="right"/>
            </w:pPr>
            <w:r>
              <w:rPr>
                <w:rFonts w:ascii="Arial" w:hAnsi="Arial" w:eastAsia="Arial"/>
                <w:sz w:val="18"/>
              </w:rPr>
              <w:t>JA_FalconCore_TradeLifecycle_v0_4_0.csv</w:t>
            </w:r>
          </w:p>
        </w:tc>
        <w:tc>
          <w:tcPr>
            <w:tcW w:type="dxa" w:w="5328"/>
            <w:vAlign w:val="center"/>
          </w:tcPr>
          <w:p>
            <w:pPr>
              <w:bidi w:val="1"/>
              <w:jc w:val="right"/>
            </w:pPr>
            <w:r>
              <w:rPr>
                <w:rFonts w:ascii="Arial" w:hAnsi="Arial" w:eastAsia="Arial"/>
                <w:sz w:val="18"/>
              </w:rPr>
              <w:t>جاهز لاحقًا لصفقات Shadow/Paper/Demo/Live</w:t>
            </w:r>
          </w:p>
        </w:tc>
      </w:tr>
      <w:tr>
        <w:tc>
          <w:tcPr>
            <w:tcW w:type="dxa" w:w="5328"/>
            <w:vAlign w:val="center"/>
          </w:tcPr>
          <w:p>
            <w:pPr>
              <w:bidi w:val="1"/>
              <w:jc w:val="right"/>
            </w:pPr>
            <w:r>
              <w:rPr>
                <w:rFonts w:ascii="Arial" w:hAnsi="Arial" w:eastAsia="Arial"/>
                <w:sz w:val="18"/>
              </w:rPr>
              <w:t>JA_FalconCore_Summary_v0_4_0.csv</w:t>
            </w:r>
          </w:p>
        </w:tc>
        <w:tc>
          <w:tcPr>
            <w:tcW w:type="dxa" w:w="5328"/>
            <w:vAlign w:val="center"/>
          </w:tcPr>
          <w:p>
            <w:pPr>
              <w:bidi w:val="1"/>
              <w:jc w:val="right"/>
            </w:pPr>
            <w:r>
              <w:rPr>
                <w:rFonts w:ascii="Arial" w:hAnsi="Arial" w:eastAsia="Arial"/>
                <w:sz w:val="18"/>
              </w:rPr>
              <w:t>ملخص Win/Lose و Index Points و USD</w:t>
            </w:r>
          </w:p>
        </w:tc>
      </w:tr>
      <w:tr>
        <w:tc>
          <w:tcPr>
            <w:tcW w:type="dxa" w:w="5328"/>
            <w:vAlign w:val="center"/>
          </w:tcPr>
          <w:p>
            <w:pPr>
              <w:bidi w:val="1"/>
              <w:jc w:val="right"/>
            </w:pPr>
            <w:r>
              <w:rPr>
                <w:rFonts w:ascii="Arial" w:hAnsi="Arial" w:eastAsia="Arial"/>
                <w:sz w:val="18"/>
              </w:rPr>
              <w:t>JA_FalconCore_MarketDiagnostics_v0_4_0.csv</w:t>
            </w:r>
          </w:p>
        </w:tc>
        <w:tc>
          <w:tcPr>
            <w:tcW w:type="dxa" w:w="5328"/>
            <w:vAlign w:val="center"/>
          </w:tcPr>
          <w:p>
            <w:pPr>
              <w:bidi w:val="1"/>
              <w:jc w:val="right"/>
            </w:pPr>
            <w:r>
              <w:rPr>
                <w:rFonts w:ascii="Arial" w:hAnsi="Arial" w:eastAsia="Arial"/>
                <w:sz w:val="18"/>
              </w:rPr>
              <w:t>معلومات الرمز والسعر والشمعة الأساسية</w:t>
            </w:r>
          </w:p>
        </w:tc>
      </w:tr>
      <w:tr>
        <w:tc>
          <w:tcPr>
            <w:tcW w:type="dxa" w:w="5328"/>
            <w:vAlign w:val="center"/>
          </w:tcPr>
          <w:p>
            <w:pPr>
              <w:bidi w:val="1"/>
              <w:jc w:val="right"/>
            </w:pPr>
            <w:r>
              <w:rPr>
                <w:rFonts w:ascii="Arial" w:hAnsi="Arial" w:eastAsia="Arial"/>
                <w:sz w:val="18"/>
              </w:rPr>
              <w:t>JA_FalconCore_CandleCacheDiagnostics_v0_4_0.csv</w:t>
            </w:r>
          </w:p>
        </w:tc>
        <w:tc>
          <w:tcPr>
            <w:tcW w:type="dxa" w:w="5328"/>
            <w:vAlign w:val="center"/>
          </w:tcPr>
          <w:p>
            <w:pPr>
              <w:bidi w:val="1"/>
              <w:jc w:val="right"/>
            </w:pPr>
            <w:r>
              <w:rPr>
                <w:rFonts w:ascii="Arial" w:hAnsi="Arial" w:eastAsia="Arial"/>
                <w:sz w:val="18"/>
              </w:rPr>
              <w:t>تشخيص شموع M1/M5/M15/H1/H4/D1</w:t>
            </w:r>
          </w:p>
        </w:tc>
      </w:tr>
      <w:tr>
        <w:tc>
          <w:tcPr>
            <w:tcW w:type="dxa" w:w="5328"/>
            <w:vAlign w:val="center"/>
          </w:tcPr>
          <w:p>
            <w:pPr>
              <w:bidi w:val="1"/>
              <w:jc w:val="right"/>
            </w:pPr>
            <w:r>
              <w:rPr>
                <w:rFonts w:ascii="Arial" w:hAnsi="Arial" w:eastAsia="Arial"/>
                <w:sz w:val="18"/>
              </w:rPr>
              <w:t>JA_FalconCore_EvidenceDiagnostics_v0_4_0.csv</w:t>
            </w:r>
          </w:p>
        </w:tc>
        <w:tc>
          <w:tcPr>
            <w:tcW w:type="dxa" w:w="5328"/>
            <w:vAlign w:val="center"/>
          </w:tcPr>
          <w:p>
            <w:pPr>
              <w:bidi w:val="1"/>
              <w:jc w:val="right"/>
            </w:pPr>
            <w:r>
              <w:rPr>
                <w:rFonts w:ascii="Arial" w:hAnsi="Arial" w:eastAsia="Arial"/>
                <w:sz w:val="18"/>
              </w:rPr>
              <w:t>تشخيص طبقات Evidence الأربع</w:t>
            </w:r>
          </w:p>
        </w:tc>
      </w:tr>
    </w:tbl>
    <w:p>
      <w:pPr>
        <w:pStyle w:val="Heading1"/>
        <w:bidi w:val="1"/>
        <w:jc w:val="right"/>
      </w:pPr>
      <w:r>
        <w:rPr>
          <w:rFonts w:ascii="Arial" w:hAnsi="Arial" w:eastAsia="Arial"/>
        </w:rPr>
        <w:t>8) المشاكل المعروفة</w:t>
      </w:r>
    </w:p>
    <w:p>
      <w:pPr>
        <w:bidi w:val="1"/>
        <w:jc w:val="right"/>
      </w:pPr>
      <w:r>
        <w:rPr>
          <w:rFonts w:ascii="Arial" w:hAnsi="Arial" w:eastAsia="Arial"/>
          <w:sz w:val="21"/>
        </w:rPr>
        <w:t>• لم يتم اختبار Compile بعد من طرف المستخدم.</w:t>
      </w:r>
    </w:p>
    <w:p>
      <w:pPr>
        <w:bidi w:val="1"/>
        <w:jc w:val="right"/>
      </w:pPr>
      <w:r>
        <w:rPr>
          <w:rFonts w:ascii="Arial" w:hAnsi="Arial" w:eastAsia="Arial"/>
          <w:sz w:val="21"/>
        </w:rPr>
        <w:t>• لا توجد استراتيجيات فعلية بعد.</w:t>
      </w:r>
    </w:p>
    <w:p>
      <w:pPr>
        <w:bidi w:val="1"/>
        <w:jc w:val="right"/>
      </w:pPr>
      <w:r>
        <w:rPr>
          <w:rFonts w:ascii="Arial" w:hAnsi="Arial" w:eastAsia="Arial"/>
          <w:sz w:val="21"/>
        </w:rPr>
        <w:t>• Evidence Framework في هذه المرحلة Contract-only ولا يحسب Score حقيقي.</w:t>
      </w:r>
    </w:p>
    <w:p>
      <w:pPr>
        <w:bidi w:val="1"/>
        <w:jc w:val="right"/>
      </w:pPr>
      <w:r>
        <w:rPr>
          <w:rFonts w:ascii="Arial" w:hAnsi="Arial" w:eastAsia="Arial"/>
          <w:sz w:val="21"/>
        </w:rPr>
        <w:t>• لا يوجد Shadow Signal Generator بعد.</w:t>
      </w:r>
    </w:p>
    <w:p>
      <w:pPr>
        <w:pStyle w:val="Heading1"/>
        <w:bidi w:val="1"/>
        <w:jc w:val="right"/>
      </w:pPr>
      <w:r>
        <w:rPr>
          <w:rFonts w:ascii="Arial" w:hAnsi="Arial" w:eastAsia="Arial"/>
        </w:rPr>
        <w:t>9) المهمة التالية بعد نجاح Compile</w:t>
      </w:r>
    </w:p>
    <w:p>
      <w:pPr>
        <w:bidi w:val="1"/>
        <w:jc w:val="right"/>
      </w:pPr>
      <w:r>
        <w:rPr>
          <w:rFonts w:ascii="Arial" w:hAnsi="Arial" w:eastAsia="Arial"/>
          <w:b w:val="0"/>
          <w:sz w:val="21"/>
        </w:rPr>
        <w:t>بعد تأكيد 0 errors و0 warnings، يتم قفل v0.4.0 ثم ننتقل إلى v0.5.0 — Shadow Engine Framework Foundation. الهدف التالي: بناء إطار استقبال إشارات Shadow بدون تداول حقيقي، وتجهيز أول مسار strategy result آمن.</w:t>
      </w:r>
    </w:p>
    <w:p>
      <w:pPr>
        <w:pStyle w:val="Heading1"/>
        <w:bidi w:val="1"/>
        <w:jc w:val="right"/>
      </w:pPr>
      <w:r>
        <w:rPr>
          <w:rFonts w:ascii="Arial" w:hAnsi="Arial" w:eastAsia="Arial"/>
        </w:rPr>
        <w:t>10) بروتوكول كل جلسة جديدة</w:t>
      </w:r>
    </w:p>
    <w:p>
      <w:pPr>
        <w:bidi w:val="1"/>
        <w:jc w:val="right"/>
      </w:pPr>
      <w:r>
        <w:rPr>
          <w:rFonts w:ascii="Arial" w:hAnsi="Arial" w:eastAsia="Arial"/>
          <w:sz w:val="21"/>
        </w:rPr>
        <w:t>• أرسل ملف ذاكرة المشروع أولًا.</w:t>
      </w:r>
    </w:p>
    <w:p>
      <w:pPr>
        <w:bidi w:val="1"/>
        <w:jc w:val="right"/>
      </w:pPr>
      <w:r>
        <w:rPr>
          <w:rFonts w:ascii="Arial" w:hAnsi="Arial" w:eastAsia="Arial"/>
          <w:sz w:val="21"/>
        </w:rPr>
        <w:t>• بعدها اطلب المهمة المطلوبة.</w:t>
      </w:r>
    </w:p>
    <w:p>
      <w:pPr>
        <w:bidi w:val="1"/>
        <w:jc w:val="right"/>
      </w:pPr>
      <w:r>
        <w:rPr>
          <w:rFonts w:ascii="Arial" w:hAnsi="Arial" w:eastAsia="Arial"/>
          <w:sz w:val="21"/>
        </w:rPr>
        <w:t>• لا تبدأ من ذاكرة عامة أو ملفات قديمة.</w:t>
      </w:r>
    </w:p>
    <w:p>
      <w:pPr>
        <w:bidi w:val="1"/>
        <w:jc w:val="right"/>
      </w:pPr>
      <w:r>
        <w:rPr>
          <w:rFonts w:ascii="Arial" w:hAnsi="Arial" w:eastAsia="Arial"/>
          <w:sz w:val="21"/>
        </w:rPr>
        <w:t>• أي إصدار جديد يجب أن ينتج ملف ذاكرة جديدًا بنفس الهيكل.</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right"/>
    </w:pPr>
    <w:r>
      <w:rPr>
        <w:rFonts w:ascii="Arial" w:hAnsi="Arial" w:eastAsia="Arial"/>
        <w:sz w:val="16"/>
      </w:rPr>
      <w:t>JA FalconCore Automated Trading Platform — Project Memory v0.4.0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