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Project Memory v0.55.11f LOCKED</w:t>
      </w:r>
    </w:p>
    <w:p>
      <w:r>
        <w:t>Status: LOCKED / ACCEPTED</w:t>
      </w:r>
    </w:p>
    <w:p>
      <w:r>
        <w:t>Scope: Session Boundary optional user override; Paper Runtime; no broker execution.</w:t>
      </w:r>
    </w:p>
    <w:p>
      <w:pPr>
        <w:pStyle w:val="Heading1"/>
      </w:pPr>
      <w:r>
        <w:t>1. Decision</w:t>
      </w:r>
    </w:p>
    <w:p>
      <w:r>
        <w:t>v0.55.11f is locked as an optional user-controlled safety override. The default remains disabled because all tested no-new-entry windows showed negative net benefit, but the user may enable a very short window such as 1 minute for exceptional operational risk concerns.</w:t>
      </w:r>
    </w:p>
    <w:p>
      <w:pPr>
        <w:pStyle w:val="Heading1"/>
      </w:pPr>
      <w:r>
        <w:t>2. Inputs Added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EnableNoNewEntriesBeforeClose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Enable/disable optional user no-new-entry safety override before close.</w:t>
            </w:r>
          </w:p>
        </w:tc>
      </w:tr>
      <w:tr>
        <w:tc>
          <w:tcPr>
            <w:tcW w:type="dxa" w:w="2880"/>
          </w:tcPr>
          <w:p>
            <w:r>
              <w:t>NoNewEntriesBeforeCloseMinutes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Number of minutes before close during which new Paper entries are blocked when override is enabled.</w:t>
            </w:r>
          </w:p>
        </w:tc>
      </w:tr>
    </w:tbl>
    <w:p>
      <w:pPr>
        <w:pStyle w:val="Heading1"/>
      </w:pPr>
      <w:r>
        <w:t>3. Regression OFF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Window</w:t>
            </w:r>
          </w:p>
        </w:tc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NetUSD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April Full</w:t>
            </w:r>
          </w:p>
        </w:tc>
        <w:tc>
          <w:tcPr>
            <w:tcW w:type="dxa" w:w="2160"/>
          </w:tcPr>
          <w:p>
            <w:r>
              <w:t>FixedLot</w:t>
            </w:r>
          </w:p>
        </w:tc>
        <w:tc>
          <w:tcPr>
            <w:tcW w:type="dxa" w:w="2160"/>
          </w:tcPr>
          <w:p>
            <w:r>
              <w:t>1102.45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May Fresh</w:t>
            </w:r>
          </w:p>
        </w:tc>
        <w:tc>
          <w:tcPr>
            <w:tcW w:type="dxa" w:w="2160"/>
          </w:tcPr>
          <w:p>
            <w:r>
              <w:t>FixedLot</w:t>
            </w:r>
          </w:p>
        </w:tc>
        <w:tc>
          <w:tcPr>
            <w:tcW w:type="dxa" w:w="2160"/>
          </w:tcPr>
          <w:p>
            <w:r>
              <w:t>759.45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April Full</w:t>
            </w:r>
          </w:p>
        </w:tc>
        <w:tc>
          <w:tcPr>
            <w:tcW w:type="dxa" w:w="2160"/>
          </w:tcPr>
          <w:p>
            <w:r>
              <w:t>DynamicLot</w:t>
            </w:r>
          </w:p>
        </w:tc>
        <w:tc>
          <w:tcPr>
            <w:tcW w:type="dxa" w:w="2160"/>
          </w:tcPr>
          <w:p>
            <w:r>
              <w:t>4524.85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May Fresh</w:t>
            </w:r>
          </w:p>
        </w:tc>
        <w:tc>
          <w:tcPr>
            <w:tcW w:type="dxa" w:w="2160"/>
          </w:tcPr>
          <w:p>
            <w:r>
              <w:t>DynamicLot</w:t>
            </w:r>
          </w:p>
        </w:tc>
        <w:tc>
          <w:tcPr>
            <w:tcW w:type="dxa" w:w="2160"/>
          </w:tcPr>
          <w:p>
            <w:r>
              <w:t>1103.55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1"/>
      </w:pPr>
      <w:r>
        <w:t>4. User Override ON, 1 Minute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Window</w:t>
            </w:r>
          </w:p>
        </w:tc>
        <w:tc>
          <w:tcPr>
            <w:tcW w:type="dxa" w:w="1440"/>
          </w:tcPr>
          <w:p>
            <w:r>
              <w:t>Mode</w:t>
            </w:r>
          </w:p>
        </w:tc>
        <w:tc>
          <w:tcPr>
            <w:tcW w:type="dxa" w:w="1440"/>
          </w:tcPr>
          <w:p>
            <w:r>
              <w:t>NetUSD</w:t>
            </w:r>
          </w:p>
        </w:tc>
        <w:tc>
          <w:tcPr>
            <w:tcW w:type="dxa" w:w="1440"/>
          </w:tcPr>
          <w:p>
            <w:r>
              <w:t>ImpactUSD</w:t>
            </w:r>
          </w:p>
        </w:tc>
        <w:tc>
          <w:tcPr>
            <w:tcW w:type="dxa" w:w="1440"/>
          </w:tcPr>
          <w:p>
            <w:r>
              <w:t>BlockedTrades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April Full</w:t>
            </w:r>
          </w:p>
        </w:tc>
        <w:tc>
          <w:tcPr>
            <w:tcW w:type="dxa" w:w="1440"/>
          </w:tcPr>
          <w:p>
            <w:r>
              <w:t>FixedLot</w:t>
            </w:r>
          </w:p>
        </w:tc>
        <w:tc>
          <w:tcPr>
            <w:tcW w:type="dxa" w:w="1440"/>
          </w:tcPr>
          <w:p>
            <w:r>
              <w:t>1053.72</w:t>
            </w:r>
          </w:p>
        </w:tc>
        <w:tc>
          <w:tcPr>
            <w:tcW w:type="dxa" w:w="1440"/>
          </w:tcPr>
          <w:p>
            <w:r>
              <w:t>-48.73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May Fresh</w:t>
            </w:r>
          </w:p>
        </w:tc>
        <w:tc>
          <w:tcPr>
            <w:tcW w:type="dxa" w:w="1440"/>
          </w:tcPr>
          <w:p>
            <w:r>
              <w:t>FixedLot</w:t>
            </w:r>
          </w:p>
        </w:tc>
        <w:tc>
          <w:tcPr>
            <w:tcW w:type="dxa" w:w="1440"/>
          </w:tcPr>
          <w:p>
            <w:r>
              <w:t>744.86</w:t>
            </w:r>
          </w:p>
        </w:tc>
        <w:tc>
          <w:tcPr>
            <w:tcW w:type="dxa" w:w="1440"/>
          </w:tcPr>
          <w:p>
            <w:r>
              <w:t>-14.59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April Full</w:t>
            </w:r>
          </w:p>
        </w:tc>
        <w:tc>
          <w:tcPr>
            <w:tcW w:type="dxa" w:w="1440"/>
          </w:tcPr>
          <w:p>
            <w:r>
              <w:t>DynamicLot</w:t>
            </w:r>
          </w:p>
        </w:tc>
        <w:tc>
          <w:tcPr>
            <w:tcW w:type="dxa" w:w="1440"/>
          </w:tcPr>
          <w:p>
            <w:r>
              <w:t>4156.16</w:t>
            </w:r>
          </w:p>
        </w:tc>
        <w:tc>
          <w:tcPr>
            <w:tcW w:type="dxa" w:w="1440"/>
          </w:tcPr>
          <w:p>
            <w:r>
              <w:t>-170.39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May Fresh</w:t>
            </w:r>
          </w:p>
        </w:tc>
        <w:tc>
          <w:tcPr>
            <w:tcW w:type="dxa" w:w="1440"/>
          </w:tcPr>
          <w:p>
            <w:r>
              <w:t>DynamicLot</w:t>
            </w:r>
          </w:p>
        </w:tc>
        <w:tc>
          <w:tcPr>
            <w:tcW w:type="dxa" w:w="1440"/>
          </w:tcPr>
          <w:p>
            <w:r>
              <w:t>1071.32</w:t>
            </w:r>
          </w:p>
        </w:tc>
        <w:tc>
          <w:tcPr>
            <w:tcW w:type="dxa" w:w="1440"/>
          </w:tcPr>
          <w:p>
            <w:r>
              <w:t>-31.31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1"/>
      </w:pPr>
      <w:r>
        <w:t>5. Safety Invariants</w:t>
      </w:r>
    </w:p>
    <w:p>
      <w:r>
        <w:t>OrderSend = 0; BrokerModifySent = 0; RuntimeSLChanged = 0; InvariantBreaches = 0.</w:t>
      </w:r>
    </w:p>
    <w:p>
      <w:r>
        <w:t>ReportIntegrityStatus = PASS; TradeRowsVsSummaryStatus = PASS; CapitalFlowIntegrityStatus = PASS.</w:t>
      </w:r>
    </w:p>
    <w:p>
      <w:r>
        <w:t>TradeLifecyclePhysicalRows = TotalTrades.</w:t>
      </w:r>
    </w:p>
    <w:p>
      <w:pPr>
        <w:pStyle w:val="Heading1"/>
      </w:pPr>
      <w:r>
        <w:t>6. Next Step</w:t>
      </w:r>
    </w:p>
    <w:p>
      <w:r>
        <w:t>Proceed to v0.55.12 — Weekend / Daily Force Close Simulation. No-New-Entry is locked only as an optional user override; it is not enabled by default and is not treated as a profit-improving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