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Arial" w:cs="Arial" w:eastAsia="Arial" w:hAnsi="Arial"/>
          <w:b/>
          <w:bCs/>
          <w:color w:val="1F4E79"/>
          <w:sz w:val="44"/>
          <w:szCs w:val="44"/>
        </w:rPr>
        <w:t xml:space="preserve">استراتيجية موجات إليوت</w:t>
      </w:r>
    </w:p>
    <w:p>
      <w:pPr>
        <w:bidi/>
        <w:spacing w:after="60"/>
        <w:jc w:val="center"/>
      </w:pPr>
      <w:r>
        <w:rPr>
          <w:rFonts w:ascii="Arial" w:cs="Arial" w:eastAsia="Arial" w:hAnsi="Arial"/>
          <w:color w:val="595959"/>
          <w:sz w:val="24"/>
          <w:szCs w:val="24"/>
        </w:rPr>
        <w:t xml:space="preserve">دليل عملي خطوة بخطوة — مع فيبوناتشي والدخول والأهداف وإدارة المخاطر</w:t>
      </w:r>
    </w:p>
    <w:p>
      <w:pPr>
        <w:bidi/>
        <w:spacing w:after="240"/>
        <w:jc w:val="center"/>
      </w:pPr>
      <w:r>
        <w:rPr>
          <w:rFonts w:ascii="Arial" w:cs="Arial" w:eastAsia="Arial" w:hAnsi="Arial"/>
          <w:i/>
          <w:iCs/>
          <w:color w:val="808080"/>
          <w:sz w:val="20"/>
          <w:szCs w:val="20"/>
        </w:rPr>
        <w:t xml:space="preserve">للتداول على فريم H1 والدخول على فريم 15 دقيقة</w:t>
      </w:r>
    </w:p>
    <w:p>
      <w:pPr>
        <w:pBdr>
          <w:top w:val="single" w:color="B0B0B0" w:sz="1"/>
          <w:bottom w:val="single" w:color="B0B0B0" w:sz="1"/>
        </w:pBdr>
        <w:shd w:fill="FFF2CC" w:val="clear"/>
        <w:bidi/>
        <w:spacing w:after="200"/>
        <w:jc w:val="right"/>
      </w:pPr>
      <w:r>
        <w:rPr>
          <w:rFonts w:ascii="Arial" w:cs="Arial" w:eastAsia="Arial" w:hAnsi="Arial"/>
          <w:b/>
          <w:bCs/>
          <w:color w:val="7F6000"/>
          <w:sz w:val="21"/>
          <w:szCs w:val="21"/>
        </w:rPr>
        <w:t xml:space="preserve">تنبيه مهم: هذه وثيقة تعليمية لمنهج تديره بنفسك، وليست توصية بالشراء أو البيع. عدّ موجات إليوت اجتهادي واحتمالي وليس يقينياً. إدارة المخاطر أهم من دقة العدّ. لا تخاطر بمال لا تتحمّل خسارته، خاصة على الرافعة في عقود الفروقات.</w:t>
      </w:r>
    </w:p>
    <w:p>
      <w:pPr>
        <w:pStyle w:val="Heading1"/>
        <w:bidi/>
        <w:spacing w:after="200" w:before="320"/>
        <w:jc w:val="right"/>
      </w:pPr>
      <w:r>
        <w:rPr>
          <w:rFonts w:ascii="Arial" w:cs="Arial" w:eastAsia="Arial" w:hAnsi="Arial"/>
          <w:b/>
          <w:bCs/>
          <w:color w:val="1F4E79"/>
          <w:sz w:val="32"/>
          <w:szCs w:val="32"/>
        </w:rPr>
        <w:t xml:space="preserve">١. الفكرة الأساسية</w:t>
      </w:r>
    </w:p>
    <w:p>
      <w:pPr>
        <w:bidi/>
        <w:spacing w:after="120" w:before="0" w:line="300"/>
        <w:jc w:val="right"/>
      </w:pPr>
      <w:r>
        <w:rPr>
          <w:rFonts w:ascii="Arial" w:cs="Arial" w:eastAsia="Arial" w:hAnsi="Arial"/>
          <w:sz w:val="24"/>
          <w:szCs w:val="24"/>
        </w:rPr>
        <w:t xml:space="preserve">السوق يتحرك في موجات تعكس نفسية المتداولين بين الطمع والخوف. الدورة الكاملة تتكوّن من جزأين:</w:t>
      </w:r>
    </w:p>
    <w:p>
      <w:pPr>
        <w:pStyle w:val="ListParagraph"/>
        <w:numPr>
          <w:ilvl w:val="0"/>
          <w:numId w:val="2"/>
        </w:numPr>
        <w:bidi/>
        <w:spacing w:after="90" w:line="300"/>
        <w:jc w:val="right"/>
      </w:pPr>
      <w:r>
        <w:rPr>
          <w:rFonts w:ascii="Arial" w:cs="Arial" w:eastAsia="Arial" w:hAnsi="Arial"/>
          <w:sz w:val="24"/>
          <w:szCs w:val="24"/>
        </w:rPr>
        <w:t xml:space="preserve">خمس موجات دافعة صاعدة (1، 2، 3، 4، 5) — تحدد اتجاه الترند.</w:t>
      </w:r>
    </w:p>
    <w:p>
      <w:pPr>
        <w:pStyle w:val="ListParagraph"/>
        <w:numPr>
          <w:ilvl w:val="0"/>
          <w:numId w:val="2"/>
        </w:numPr>
        <w:bidi/>
        <w:spacing w:after="90" w:line="300"/>
        <w:jc w:val="right"/>
      </w:pPr>
      <w:r>
        <w:rPr>
          <w:rFonts w:ascii="Arial" w:cs="Arial" w:eastAsia="Arial" w:hAnsi="Arial"/>
          <w:sz w:val="24"/>
          <w:szCs w:val="24"/>
        </w:rPr>
        <w:t xml:space="preserve">ثلاث موجات تصحيحية (A، B، C) — تعاكس الترند.</w:t>
      </w:r>
    </w:p>
    <w:p>
      <w:pPr>
        <w:bidi/>
        <w:spacing w:after="120" w:before="0" w:line="300"/>
        <w:jc w:val="right"/>
      </w:pPr>
      <w:r>
        <w:rPr>
          <w:rFonts w:ascii="Arial" w:cs="Arial" w:eastAsia="Arial" w:hAnsi="Arial"/>
          <w:sz w:val="24"/>
          <w:szCs w:val="24"/>
        </w:rPr>
        <w:t xml:space="preserve">أي أن الدورة الكاملة = 5 موجات صعود + 3 موجات تصحيح = 8 موجات.</w:t>
      </w:r>
    </w:p>
    <w:p>
      <w:pPr>
        <w:pStyle w:val="Heading1"/>
        <w:bidi/>
        <w:spacing w:after="200" w:before="320"/>
        <w:jc w:val="right"/>
      </w:pPr>
      <w:r>
        <w:rPr>
          <w:rFonts w:ascii="Arial" w:cs="Arial" w:eastAsia="Arial" w:hAnsi="Arial"/>
          <w:b/>
          <w:bCs/>
          <w:color w:val="1F4E79"/>
          <w:sz w:val="32"/>
          <w:szCs w:val="32"/>
        </w:rPr>
        <w:t xml:space="preserve">٢. القواعد الصارمة الثلاث (إلزامية)</w:t>
      </w:r>
    </w:p>
    <w:p>
      <w:pPr>
        <w:bidi/>
        <w:spacing w:after="120" w:before="0" w:line="300"/>
        <w:jc w:val="right"/>
      </w:pPr>
      <w:r>
        <w:rPr>
          <w:rFonts w:ascii="Arial" w:cs="Arial" w:eastAsia="Arial" w:hAnsi="Arial"/>
          <w:sz w:val="24"/>
          <w:szCs w:val="24"/>
        </w:rPr>
        <w:t xml:space="preserve">إذا كُسرت أي واحدة منها، فالعدّ خاطئ قطعاً ويجب إعادته: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Pr>
              <w:t xml:space="preserve">القاعدة</w:t>
            </w:r>
          </w:p>
        </w:tc>
        <w:tc>
          <w:tcPr>
            <w:tcW w:type="dxa" w:w="624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Pr>
              <w:t xml:space="preserve">الشرط</w:t>
            </w:r>
          </w:p>
        </w:tc>
      </w:tr>
      <w:tr>
        <w:tc>
          <w:tcPr>
            <w:tcW w:type="dxa" w:w="31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الموجة 2</w:t>
            </w:r>
          </w:p>
        </w:tc>
        <w:tc>
          <w:tcPr>
            <w:tcW w:type="dxa" w:w="62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لا تنزل تحت بداية الموجة 1 (القاع الذي انطلقت منه)</w:t>
            </w:r>
          </w:p>
        </w:tc>
      </w:tr>
      <w:tr>
        <w:tc>
          <w:tcPr>
            <w:tcW w:type="dxa" w:w="312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الموجة 3</w:t>
            </w:r>
          </w:p>
        </w:tc>
        <w:tc>
          <w:tcPr>
            <w:tcW w:type="dxa" w:w="624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ليست الأقصر بين الموجات 1 و3 و5 (وغالباً الأطول والأقوى)</w:t>
            </w:r>
          </w:p>
        </w:tc>
      </w:tr>
      <w:tr>
        <w:tc>
          <w:tcPr>
            <w:tcW w:type="dxa" w:w="312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الموجة 4</w:t>
            </w:r>
          </w:p>
        </w:tc>
        <w:tc>
          <w:tcPr>
            <w:tcW w:type="dxa" w:w="624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لا تدخل منطقة قمة الموجة 1 (لا تنزل تحت سعر قمة الموجة 1)</w:t>
            </w:r>
          </w:p>
        </w:tc>
      </w:tr>
    </w:tbl>
    <w:p>
      <w:pPr>
        <w:bidi/>
        <w:spacing w:after="60" w:before="0" w:line="300"/>
        <w:jc w:val="right"/>
      </w:pPr>
      <w:r>
        <w:rPr>
          <w:rFonts w:ascii="Arial" w:cs="Arial" w:eastAsia="Arial" w:hAnsi="Arial"/>
          <w:sz w:val="24"/>
          <w:szCs w:val="24"/>
        </w:rPr>
        <w:t xml:space="preserve"> </w:t>
      </w:r>
    </w:p>
    <w:p>
      <w:pPr>
        <w:bidi/>
        <w:spacing w:after="120" w:before="0" w:line="300"/>
        <w:jc w:val="right"/>
      </w:pPr>
      <w:r>
        <w:rPr>
          <w:rFonts w:ascii="Arial" w:cs="Arial" w:eastAsia="Arial" w:hAnsi="Arial"/>
          <w:b/>
          <w:bCs/>
          <w:color w:val="C00000"/>
          <w:sz w:val="24"/>
          <w:szCs w:val="24"/>
        </w:rPr>
        <w:t xml:space="preserve">تذكير مهم: </w:t>
      </w:r>
      <w:r>
        <w:rPr>
          <w:rFonts w:ascii="Arial" w:cs="Arial" w:eastAsia="Arial" w:hAnsi="Arial"/>
          <w:sz w:val="24"/>
          <w:szCs w:val="24"/>
        </w:rPr>
        <w:t xml:space="preserve">الموجة 2 مرجعها قاع بداية الموجة 1، أما الموجة 4 فمرجعها قمة الموجة 1. لا تخلط بينهما.</w:t>
      </w:r>
    </w:p>
    <w:p>
      <w:pPr>
        <w:bidi/>
        <w:spacing w:after="120" w:before="0" w:line="300"/>
        <w:jc w:val="right"/>
      </w:pPr>
      <w:r>
        <w:rPr>
          <w:rFonts w:ascii="Arial" w:cs="Arial" w:eastAsia="Arial" w:hAnsi="Arial"/>
          <w:b/>
          <w:bCs/>
          <w:sz w:val="24"/>
          <w:szCs w:val="24"/>
        </w:rPr>
        <w:t xml:space="preserve">ملاحظة عن الموجات التصحيحية (A-B-C): </w:t>
      </w:r>
      <w:r>
        <w:rPr>
          <w:rFonts w:ascii="Arial" w:cs="Arial" w:eastAsia="Arial" w:hAnsi="Arial"/>
          <w:sz w:val="24"/>
          <w:szCs w:val="24"/>
        </w:rPr>
        <w:t xml:space="preserve">ليس لها قواعد صارمة مثل الدافعة، بل إرشادات. الموجة B عادةً ارتداد صاعد مخادع، والموجة C تنزل بعمق ولا تتقيّد بقمة الموجة 1.</w:t>
      </w:r>
    </w:p>
    <w:p>
      <w:pPr>
        <w:pStyle w:val="Heading1"/>
        <w:bidi/>
        <w:spacing w:after="200" w:before="320"/>
        <w:jc w:val="right"/>
      </w:pPr>
      <w:r>
        <w:rPr>
          <w:rFonts w:ascii="Arial" w:cs="Arial" w:eastAsia="Arial" w:hAnsi="Arial"/>
          <w:b/>
          <w:bCs/>
          <w:color w:val="1F4E79"/>
          <w:sz w:val="32"/>
          <w:szCs w:val="32"/>
        </w:rPr>
        <w:t xml:space="preserve">٣. كيف تقيس طول الموجة</w:t>
      </w:r>
    </w:p>
    <w:p>
      <w:pPr>
        <w:pStyle w:val="ListParagraph"/>
        <w:numPr>
          <w:ilvl w:val="0"/>
          <w:numId w:val="2"/>
        </w:numPr>
        <w:bidi/>
        <w:spacing w:after="90" w:line="300"/>
        <w:jc w:val="right"/>
      </w:pPr>
      <w:r>
        <w:rPr>
          <w:rFonts w:ascii="Arial" w:cs="Arial" w:eastAsia="Arial" w:hAnsi="Arial"/>
          <w:sz w:val="24"/>
          <w:szCs w:val="24"/>
        </w:rPr>
        <w:t xml:space="preserve">الموجة الصاعدة: الطول = سعر القمة − سعر القاع الذي بدأت منه.</w:t>
      </w:r>
    </w:p>
    <w:p>
      <w:pPr>
        <w:pStyle w:val="ListParagraph"/>
        <w:numPr>
          <w:ilvl w:val="0"/>
          <w:numId w:val="2"/>
        </w:numPr>
        <w:bidi/>
        <w:spacing w:after="90" w:line="300"/>
        <w:jc w:val="right"/>
      </w:pPr>
      <w:r>
        <w:rPr>
          <w:rFonts w:ascii="Arial" w:cs="Arial" w:eastAsia="Arial" w:hAnsi="Arial"/>
          <w:sz w:val="24"/>
          <w:szCs w:val="24"/>
        </w:rPr>
        <w:t xml:space="preserve">الموجة الهابطة: الطول = سعر القمة التي بدأت منها − سعر القاع.</w:t>
      </w:r>
    </w:p>
    <w:p>
      <w:pPr>
        <w:pStyle w:val="ListParagraph"/>
        <w:numPr>
          <w:ilvl w:val="0"/>
          <w:numId w:val="2"/>
        </w:numPr>
        <w:bidi/>
        <w:spacing w:after="90" w:line="300"/>
        <w:jc w:val="right"/>
      </w:pPr>
      <w:r>
        <w:rPr>
          <w:rFonts w:ascii="Arial" w:cs="Arial" w:eastAsia="Arial" w:hAnsi="Arial"/>
          <w:sz w:val="24"/>
          <w:szCs w:val="24"/>
        </w:rPr>
        <w:t xml:space="preserve">على المنصة: استخدم أداة Measure (المسطرة) لقياس المسافة بالنقاط تلقائياً.</w:t>
      </w:r>
    </w:p>
    <w:p>
      <w:pPr>
        <w:bidi/>
        <w:spacing w:after="120" w:before="0" w:line="300"/>
        <w:jc w:val="right"/>
      </w:pPr>
      <w:r>
        <w:rPr>
          <w:rFonts w:ascii="Arial" w:cs="Arial" w:eastAsia="Arial" w:hAnsi="Arial"/>
          <w:b/>
          <w:bCs/>
          <w:sz w:val="24"/>
          <w:szCs w:val="24"/>
        </w:rPr>
        <w:t xml:space="preserve">القمم والقيعان: </w:t>
      </w:r>
      <w:r>
        <w:rPr>
          <w:rFonts w:ascii="Arial" w:cs="Arial" w:eastAsia="Arial" w:hAnsi="Arial"/>
          <w:sz w:val="24"/>
          <w:szCs w:val="24"/>
        </w:rPr>
        <w:t xml:space="preserve">تُقاس من الذيول (الفتائل) — أي أعلى High وأدنى Low — وليس من أجسام الشموع. هذا الأدق، ومتوافق مع إعداد المؤشر على high/low. انتبه في عقود الفروقات للفتائل الشاذة الناتجة عن السبريد.</w:t>
      </w:r>
    </w:p>
    <w:p>
      <w:pPr>
        <w:pStyle w:val="Heading1"/>
        <w:bidi/>
        <w:spacing w:after="200" w:before="320"/>
        <w:jc w:val="right"/>
      </w:pPr>
      <w:r>
        <w:rPr>
          <w:rFonts w:ascii="Arial" w:cs="Arial" w:eastAsia="Arial" w:hAnsi="Arial"/>
          <w:b/>
          <w:bCs/>
          <w:color w:val="1F4E79"/>
          <w:sz w:val="32"/>
          <w:szCs w:val="32"/>
        </w:rPr>
        <w:t xml:space="preserve">٤. مستويات فيبوناتشي</w:t>
      </w:r>
    </w:p>
    <w:p>
      <w:pPr>
        <w:pStyle w:val="Heading2"/>
        <w:bidi/>
        <w:spacing w:after="140" w:before="240"/>
        <w:jc w:val="right"/>
      </w:pPr>
      <w:r>
        <w:rPr>
          <w:rFonts w:ascii="Arial" w:cs="Arial" w:eastAsia="Arial" w:hAnsi="Arial"/>
          <w:b/>
          <w:bCs/>
          <w:color w:val="2E75B6"/>
          <w:sz w:val="27"/>
          <w:szCs w:val="27"/>
        </w:rPr>
        <w:t xml:space="preserve">أ) للدخول — مستويات الارتداد (Fib Retracement)</w:t>
      </w:r>
    </w:p>
    <w:p>
      <w:pPr>
        <w:bidi/>
        <w:spacing w:after="120" w:before="0" w:line="300"/>
        <w:jc w:val="right"/>
      </w:pPr>
      <w:r>
        <w:rPr>
          <w:rFonts w:ascii="Arial" w:cs="Arial" w:eastAsia="Arial" w:hAnsi="Arial"/>
          <w:sz w:val="24"/>
          <w:szCs w:val="24"/>
        </w:rPr>
        <w:t xml:space="preserve">تقيس عمق تصحيح الموجة 2. الموجة 2 عادةً تصحّح إلى 50% أو 61.8% من الموجة 1. ترسمها بنقرتين: من قاع بداية الموجة 1 إلى قمة الموجة 1.</w:t>
      </w:r>
    </w:p>
    <w:p>
      <w:pPr>
        <w:pStyle w:val="Heading2"/>
        <w:bidi/>
        <w:spacing w:after="140" w:before="240"/>
        <w:jc w:val="right"/>
      </w:pPr>
      <w:r>
        <w:rPr>
          <w:rFonts w:ascii="Arial" w:cs="Arial" w:eastAsia="Arial" w:hAnsi="Arial"/>
          <w:b/>
          <w:bCs/>
          <w:color w:val="2E75B6"/>
          <w:sz w:val="27"/>
          <w:szCs w:val="27"/>
        </w:rPr>
        <w:t xml:space="preserve">ب) للأهداف — مستويات الامتداد (Trend-Based Fib Extension)</w:t>
      </w:r>
    </w:p>
    <w:p>
      <w:pPr>
        <w:bidi/>
        <w:spacing w:after="120" w:before="0" w:line="300"/>
        <w:jc w:val="right"/>
      </w:pPr>
      <w:r>
        <w:rPr>
          <w:rFonts w:ascii="Arial" w:cs="Arial" w:eastAsia="Arial" w:hAnsi="Arial"/>
          <w:sz w:val="24"/>
          <w:szCs w:val="24"/>
        </w:rPr>
        <w:t xml:space="preserve">تقيس أهداف الموجة 3. ترسمها بثلاث نقرات بالترتيب:</w:t>
      </w:r>
    </w:p>
    <w:p>
      <w:pPr>
        <w:pStyle w:val="ListParagraph"/>
        <w:numPr>
          <w:ilvl w:val="0"/>
          <w:numId w:val="3"/>
        </w:numPr>
        <w:bidi/>
        <w:spacing w:after="90" w:line="300"/>
        <w:jc w:val="right"/>
      </w:pPr>
      <w:r>
        <w:rPr>
          <w:rFonts w:ascii="Arial" w:cs="Arial" w:eastAsia="Arial" w:hAnsi="Arial"/>
          <w:sz w:val="24"/>
          <w:szCs w:val="24"/>
        </w:rPr>
        <w:t xml:space="preserve">النقرة 1: بداية الموجة 1 (القاع).</w:t>
      </w:r>
    </w:p>
    <w:p>
      <w:pPr>
        <w:pStyle w:val="ListParagraph"/>
        <w:numPr>
          <w:ilvl w:val="0"/>
          <w:numId w:val="3"/>
        </w:numPr>
        <w:bidi/>
        <w:spacing w:after="90" w:line="300"/>
        <w:jc w:val="right"/>
      </w:pPr>
      <w:r>
        <w:rPr>
          <w:rFonts w:ascii="Arial" w:cs="Arial" w:eastAsia="Arial" w:hAnsi="Arial"/>
          <w:sz w:val="24"/>
          <w:szCs w:val="24"/>
        </w:rPr>
        <w:t xml:space="preserve">النقرة 2: قمة الموجة 1.</w:t>
      </w:r>
    </w:p>
    <w:p>
      <w:pPr>
        <w:pStyle w:val="ListParagraph"/>
        <w:numPr>
          <w:ilvl w:val="0"/>
          <w:numId w:val="3"/>
        </w:numPr>
        <w:bidi/>
        <w:spacing w:after="90" w:line="300"/>
        <w:jc w:val="right"/>
      </w:pPr>
      <w:r>
        <w:rPr>
          <w:rFonts w:ascii="Arial" w:cs="Arial" w:eastAsia="Arial" w:hAnsi="Arial"/>
          <w:sz w:val="24"/>
          <w:szCs w:val="24"/>
        </w:rPr>
        <w:t xml:space="preserve">النقرة 3: قاع الموجة 2.</w:t>
      </w:r>
    </w:p>
    <w:p>
      <w:pPr>
        <w:bidi/>
        <w:spacing w:after="120" w:before="0" w:line="300"/>
        <w:jc w:val="right"/>
      </w:pPr>
      <w:r>
        <w:rPr>
          <w:rFonts w:ascii="Arial" w:cs="Arial" w:eastAsia="Arial" w:hAnsi="Arial"/>
          <w:sz w:val="24"/>
          <w:szCs w:val="24"/>
        </w:rPr>
        <w:t xml:space="preserve">ثم تظهر الأهداف تلقائياً: 161.8% (الهدف الأول الأشهر للموجة 3) و261.8% (هدف أبعد للموجات القوية). الأداة تحسب الضرب نيابةً عنك (طول الموجة 1 × 1.618).</w:t>
      </w:r>
    </w:p>
    <w:p>
      <w:r>
        <w:br w:type="page"/>
      </w:r>
    </w:p>
    <w:p>
      <w:pPr>
        <w:pStyle w:val="Heading1"/>
        <w:bidi/>
        <w:spacing w:after="200" w:before="320"/>
        <w:jc w:val="right"/>
      </w:pPr>
      <w:r>
        <w:rPr>
          <w:rFonts w:ascii="Arial" w:cs="Arial" w:eastAsia="Arial" w:hAnsi="Arial"/>
          <w:b/>
          <w:bCs/>
          <w:color w:val="1F4E79"/>
          <w:sz w:val="32"/>
          <w:szCs w:val="32"/>
        </w:rPr>
        <w:t xml:space="preserve">٥. خطوات الاستراتيجية من البداية للنهاية</w:t>
      </w:r>
    </w:p>
    <w:p>
      <w:pPr>
        <w:pStyle w:val="Heading2"/>
        <w:bidi/>
        <w:spacing w:after="140" w:before="240"/>
        <w:jc w:val="right"/>
      </w:pPr>
      <w:r>
        <w:rPr>
          <w:rFonts w:ascii="Arial" w:cs="Arial" w:eastAsia="Arial" w:hAnsi="Arial"/>
          <w:b/>
          <w:bCs/>
          <w:color w:val="2E75B6"/>
          <w:sz w:val="27"/>
          <w:szCs w:val="27"/>
        </w:rPr>
        <w:t xml:space="preserve">الخطوة 1: تحديد الاتجاه والبنية (على فريم H1)</w:t>
      </w:r>
    </w:p>
    <w:p>
      <w:pPr>
        <w:pStyle w:val="ListParagraph"/>
        <w:numPr>
          <w:ilvl w:val="0"/>
          <w:numId w:val="2"/>
        </w:numPr>
        <w:bidi/>
        <w:spacing w:after="90" w:line="300"/>
        <w:jc w:val="right"/>
      </w:pPr>
      <w:r>
        <w:rPr>
          <w:rFonts w:ascii="Arial" w:cs="Arial" w:eastAsia="Arial" w:hAnsi="Arial"/>
          <w:sz w:val="24"/>
          <w:szCs w:val="24"/>
        </w:rPr>
        <w:t xml:space="preserve">ارفع المؤشر بإعدادات ZigZag مناسبة (8 / 13 / 21 لفريم H1) لتقليل الضوضاء.</w:t>
      </w:r>
    </w:p>
    <w:p>
      <w:pPr>
        <w:pStyle w:val="ListParagraph"/>
        <w:numPr>
          <w:ilvl w:val="0"/>
          <w:numId w:val="2"/>
        </w:numPr>
        <w:bidi/>
        <w:spacing w:after="90" w:line="300"/>
        <w:jc w:val="right"/>
      </w:pPr>
      <w:r>
        <w:rPr>
          <w:rFonts w:ascii="Arial" w:cs="Arial" w:eastAsia="Arial" w:hAnsi="Arial"/>
          <w:sz w:val="24"/>
          <w:szCs w:val="24"/>
        </w:rPr>
        <w:t xml:space="preserve">حدّد أين أنت في الدورة: هل في موجة دافعة (1-5) أم تصحيحية (A-B-C)؟</w:t>
      </w:r>
    </w:p>
    <w:p>
      <w:pPr>
        <w:pStyle w:val="ListParagraph"/>
        <w:numPr>
          <w:ilvl w:val="0"/>
          <w:numId w:val="2"/>
        </w:numPr>
        <w:bidi/>
        <w:spacing w:after="90" w:line="300"/>
        <w:jc w:val="right"/>
      </w:pPr>
      <w:r>
        <w:rPr>
          <w:rFonts w:ascii="Arial" w:cs="Arial" w:eastAsia="Arial" w:hAnsi="Arial"/>
          <w:sz w:val="24"/>
          <w:szCs w:val="24"/>
        </w:rPr>
        <w:t xml:space="preserve">تحقّق من القواعد الصارمة الثلاث يدوياً — لا تثق بالمؤشر وحده (يعيد الرسم Repaint).</w:t>
      </w:r>
    </w:p>
    <w:p>
      <w:pPr>
        <w:pStyle w:val="Heading2"/>
        <w:bidi/>
        <w:spacing w:after="140" w:before="240"/>
        <w:jc w:val="right"/>
      </w:pPr>
      <w:r>
        <w:rPr>
          <w:rFonts w:ascii="Arial" w:cs="Arial" w:eastAsia="Arial" w:hAnsi="Arial"/>
          <w:b/>
          <w:bCs/>
          <w:color w:val="2E75B6"/>
          <w:sz w:val="27"/>
          <w:szCs w:val="27"/>
        </w:rPr>
        <w:t xml:space="preserve">الخطوة 2: انتظار اكتمال التصحيح (الموجة C)</w:t>
      </w:r>
    </w:p>
    <w:p>
      <w:pPr>
        <w:bidi/>
        <w:spacing w:after="120" w:before="0" w:line="300"/>
        <w:jc w:val="right"/>
      </w:pPr>
      <w:r>
        <w:rPr>
          <w:rFonts w:ascii="Arial" w:cs="Arial" w:eastAsia="Arial" w:hAnsi="Arial"/>
          <w:sz w:val="24"/>
          <w:szCs w:val="24"/>
        </w:rPr>
        <w:t xml:space="preserve">لا تدخل قبل التأكيد. علامات اكتمال الموجة C (من الأقوى للأضعف):</w:t>
      </w:r>
    </w:p>
    <w:p>
      <w:pPr>
        <w:pStyle w:val="ListParagraph"/>
        <w:numPr>
          <w:ilvl w:val="0"/>
          <w:numId w:val="2"/>
        </w:numPr>
        <w:bidi/>
        <w:spacing w:after="90" w:line="300"/>
        <w:jc w:val="right"/>
      </w:pPr>
      <w:r>
        <w:rPr>
          <w:rFonts w:ascii="Arial" w:cs="Arial" w:eastAsia="Arial" w:hAnsi="Arial"/>
          <w:sz w:val="24"/>
          <w:szCs w:val="24"/>
        </w:rPr>
        <w:t xml:space="preserve">تجاوز قمة الموجة B بإغلاق — أقوى تأكيد على الإطلاق.</w:t>
      </w:r>
    </w:p>
    <w:p>
      <w:pPr>
        <w:pStyle w:val="ListParagraph"/>
        <w:numPr>
          <w:ilvl w:val="0"/>
          <w:numId w:val="2"/>
        </w:numPr>
        <w:bidi/>
        <w:spacing w:after="90" w:line="300"/>
        <w:jc w:val="right"/>
      </w:pPr>
      <w:r>
        <w:rPr>
          <w:rFonts w:ascii="Arial" w:cs="Arial" w:eastAsia="Arial" w:hAnsi="Arial"/>
          <w:sz w:val="24"/>
          <w:szCs w:val="24"/>
        </w:rPr>
        <w:t xml:space="preserve">اكتمال خمس موجات فرعية داخل C (على فريم أصغر).</w:t>
      </w:r>
    </w:p>
    <w:p>
      <w:pPr>
        <w:pStyle w:val="ListParagraph"/>
        <w:numPr>
          <w:ilvl w:val="0"/>
          <w:numId w:val="2"/>
        </w:numPr>
        <w:bidi/>
        <w:spacing w:after="90" w:line="300"/>
        <w:jc w:val="right"/>
      </w:pPr>
      <w:r>
        <w:rPr>
          <w:rFonts w:ascii="Arial" w:cs="Arial" w:eastAsia="Arial" w:hAnsi="Arial"/>
          <w:sz w:val="24"/>
          <w:szCs w:val="24"/>
        </w:rPr>
        <w:t xml:space="preserve">الوصول لمنطقة دعم / فيبوناتشي متوقعة (حيث C ≈ A أو 1.618 من A).</w:t>
      </w:r>
    </w:p>
    <w:p>
      <w:pPr>
        <w:pStyle w:val="ListParagraph"/>
        <w:numPr>
          <w:ilvl w:val="0"/>
          <w:numId w:val="2"/>
        </w:numPr>
        <w:bidi/>
        <w:spacing w:after="90" w:line="300"/>
        <w:jc w:val="right"/>
      </w:pPr>
      <w:r>
        <w:rPr>
          <w:rFonts w:ascii="Arial" w:cs="Arial" w:eastAsia="Arial" w:hAnsi="Arial"/>
          <w:sz w:val="24"/>
          <w:szCs w:val="24"/>
        </w:rPr>
        <w:t xml:space="preserve">دايفرجنس صاعد على RSI (السعر قاع أدنى، المؤشر قاع أعلى).</w:t>
      </w:r>
    </w:p>
    <w:p>
      <w:pPr>
        <w:pStyle w:val="ListParagraph"/>
        <w:numPr>
          <w:ilvl w:val="0"/>
          <w:numId w:val="2"/>
        </w:numPr>
        <w:bidi/>
        <w:spacing w:after="90" w:line="300"/>
        <w:jc w:val="right"/>
      </w:pPr>
      <w:r>
        <w:rPr>
          <w:rFonts w:ascii="Arial" w:cs="Arial" w:eastAsia="Arial" w:hAnsi="Arial"/>
          <w:sz w:val="24"/>
          <w:szCs w:val="24"/>
        </w:rPr>
        <w:t xml:space="preserve">شمعة انعكاسية صاعدة قوية (ابتلاعية / مطرقة) عند القاع.</w:t>
      </w:r>
    </w:p>
    <w:p>
      <w:pPr>
        <w:bidi/>
        <w:spacing w:after="120" w:before="0" w:line="300"/>
        <w:jc w:val="right"/>
      </w:pPr>
      <w:r>
        <w:rPr>
          <w:rFonts w:ascii="Arial" w:cs="Arial" w:eastAsia="Arial" w:hAnsi="Arial"/>
          <w:sz w:val="24"/>
          <w:szCs w:val="24"/>
        </w:rPr>
        <w:t xml:space="preserve">القاعدة: كلما اجتمعت علامات أكثر، زادت الثقة. اجتماع ثلاث أو أكثر = ثقة عالية.</w:t>
      </w:r>
    </w:p>
    <w:p>
      <w:pPr>
        <w:pStyle w:val="Heading2"/>
        <w:bidi/>
        <w:spacing w:after="140" w:before="240"/>
        <w:jc w:val="right"/>
      </w:pPr>
      <w:r>
        <w:rPr>
          <w:rFonts w:ascii="Arial" w:cs="Arial" w:eastAsia="Arial" w:hAnsi="Arial"/>
          <w:b/>
          <w:bCs/>
          <w:color w:val="2E75B6"/>
          <w:sz w:val="27"/>
          <w:szCs w:val="27"/>
        </w:rPr>
        <w:t xml:space="preserve">الخطوة 3: الدخول (على فريم 15 دقيقة)</w:t>
      </w:r>
    </w:p>
    <w:p>
      <w:pPr>
        <w:pStyle w:val="ListParagraph"/>
        <w:numPr>
          <w:ilvl w:val="0"/>
          <w:numId w:val="2"/>
        </w:numPr>
        <w:bidi/>
        <w:spacing w:after="90" w:line="300"/>
        <w:jc w:val="right"/>
      </w:pPr>
      <w:r>
        <w:rPr>
          <w:rFonts w:ascii="Arial" w:cs="Arial" w:eastAsia="Arial" w:hAnsi="Arial"/>
          <w:sz w:val="24"/>
          <w:szCs w:val="24"/>
        </w:rPr>
        <w:t xml:space="preserve">حلّل على H1 (البوصلة)، وادخل على فريم 15 (التوقيت الدقيق)، دائماً في اتجاه H1.</w:t>
      </w:r>
    </w:p>
    <w:p>
      <w:pPr>
        <w:pStyle w:val="ListParagraph"/>
        <w:numPr>
          <w:ilvl w:val="0"/>
          <w:numId w:val="2"/>
        </w:numPr>
        <w:bidi/>
        <w:spacing w:after="90" w:line="300"/>
        <w:jc w:val="right"/>
      </w:pPr>
      <w:r>
        <w:rPr>
          <w:rFonts w:ascii="Arial" w:cs="Arial" w:eastAsia="Arial" w:hAnsi="Arial"/>
          <w:sz w:val="24"/>
          <w:szCs w:val="24"/>
        </w:rPr>
        <w:t xml:space="preserve">المحافظ: ادخل بعد كسر قمة الموجة 1 الجديدة بإغلاق (تأكيد دخول الموجة 3).</w:t>
      </w:r>
    </w:p>
    <w:p>
      <w:pPr>
        <w:pStyle w:val="ListParagraph"/>
        <w:numPr>
          <w:ilvl w:val="0"/>
          <w:numId w:val="2"/>
        </w:numPr>
        <w:bidi/>
        <w:spacing w:after="90" w:line="300"/>
        <w:jc w:val="right"/>
      </w:pPr>
      <w:r>
        <w:rPr>
          <w:rFonts w:ascii="Arial" w:cs="Arial" w:eastAsia="Arial" w:hAnsi="Arial"/>
          <w:sz w:val="24"/>
          <w:szCs w:val="24"/>
        </w:rPr>
        <w:t xml:space="preserve">الجريء: ادخل عند تأكيد الارتداد من قاع C (شمعة انعكاسية + دايفرجنس) — نسبة أفضل، مخاطرة أعلى.</w:t>
      </w:r>
    </w:p>
    <w:p>
      <w:pPr>
        <w:bidi/>
        <w:spacing w:after="120" w:before="0" w:line="300"/>
        <w:jc w:val="right"/>
      </w:pPr>
      <w:r>
        <w:rPr>
          <w:rFonts w:ascii="Arial" w:cs="Arial" w:eastAsia="Arial" w:hAnsi="Arial"/>
          <w:b/>
          <w:bCs/>
          <w:color w:val="C00000"/>
          <w:sz w:val="24"/>
          <w:szCs w:val="24"/>
        </w:rPr>
        <w:t xml:space="preserve">تنبيه: </w:t>
      </w:r>
      <w:r>
        <w:rPr>
          <w:rFonts w:ascii="Arial" w:cs="Arial" w:eastAsia="Arial" w:hAnsi="Arial"/>
          <w:sz w:val="24"/>
          <w:szCs w:val="24"/>
        </w:rPr>
        <w:t xml:space="preserve">"الكسر" يعني إغلاق شمعة فوق/تحت المستوى، وليس مجرد لمسة بنقطة (احذر صيد الأوامر والفتائل في CFD).</w:t>
      </w:r>
    </w:p>
    <w:p>
      <w:pPr>
        <w:pStyle w:val="Heading2"/>
        <w:bidi/>
        <w:spacing w:after="140" w:before="240"/>
        <w:jc w:val="right"/>
      </w:pPr>
      <w:r>
        <w:rPr>
          <w:rFonts w:ascii="Arial" w:cs="Arial" w:eastAsia="Arial" w:hAnsi="Arial"/>
          <w:b/>
          <w:bCs/>
          <w:color w:val="2E75B6"/>
          <w:sz w:val="27"/>
          <w:szCs w:val="27"/>
        </w:rPr>
        <w:t xml:space="preserve">الخطوة 4: وقف الخسارة (Stop Loss)</w:t>
      </w:r>
    </w:p>
    <w:p>
      <w:pPr>
        <w:pStyle w:val="ListParagraph"/>
        <w:numPr>
          <w:ilvl w:val="0"/>
          <w:numId w:val="2"/>
        </w:numPr>
        <w:bidi/>
        <w:spacing w:after="90" w:line="300"/>
        <w:jc w:val="right"/>
      </w:pPr>
      <w:r>
        <w:rPr>
          <w:rFonts w:ascii="Arial" w:cs="Arial" w:eastAsia="Arial" w:hAnsi="Arial"/>
          <w:sz w:val="24"/>
          <w:szCs w:val="24"/>
        </w:rPr>
        <w:t xml:space="preserve">ضعه عند النقطة التي لو وصلها السعر لأصبح عدّك خاطئاً: تحت قاع الموجة 2 (أو قاع C).</w:t>
      </w:r>
    </w:p>
    <w:p>
      <w:pPr>
        <w:pStyle w:val="ListParagraph"/>
        <w:numPr>
          <w:ilvl w:val="0"/>
          <w:numId w:val="2"/>
        </w:numPr>
        <w:bidi/>
        <w:spacing w:after="90" w:line="300"/>
        <w:jc w:val="right"/>
      </w:pPr>
      <w:r>
        <w:rPr>
          <w:rFonts w:ascii="Arial" w:cs="Arial" w:eastAsia="Arial" w:hAnsi="Arial"/>
          <w:sz w:val="24"/>
          <w:szCs w:val="24"/>
        </w:rPr>
        <w:t xml:space="preserve">لا تضعه عند القاع بالضبط، بل تحته بهامش أمان لتجنّب الكسر الكاذب.</w:t>
      </w:r>
    </w:p>
    <w:p>
      <w:pPr>
        <w:pStyle w:val="ListParagraph"/>
        <w:numPr>
          <w:ilvl w:val="0"/>
          <w:numId w:val="2"/>
        </w:numPr>
        <w:bidi/>
        <w:spacing w:after="90" w:line="300"/>
        <w:jc w:val="right"/>
      </w:pPr>
      <w:r>
        <w:rPr>
          <w:rFonts w:ascii="Arial" w:cs="Arial" w:eastAsia="Arial" w:hAnsi="Arial"/>
          <w:sz w:val="24"/>
          <w:szCs w:val="24"/>
        </w:rPr>
        <w:t xml:space="preserve">احسب الهامش بأداة ATR: الهامش = 1 إلى 1.5 × قراءة ATR على الفريم الحالي.</w:t>
      </w:r>
    </w:p>
    <w:p>
      <w:pPr>
        <w:pStyle w:val="ListParagraph"/>
        <w:numPr>
          <w:ilvl w:val="0"/>
          <w:numId w:val="2"/>
        </w:numPr>
        <w:bidi/>
        <w:spacing w:after="90" w:line="300"/>
        <w:jc w:val="right"/>
      </w:pPr>
      <w:r>
        <w:rPr>
          <w:rFonts w:ascii="Arial" w:cs="Arial" w:eastAsia="Arial" w:hAnsi="Arial"/>
          <w:sz w:val="24"/>
          <w:szCs w:val="24"/>
        </w:rPr>
        <w:t xml:space="preserve">لا تجعله ضيقاً جداً (سيُضرب بالتذبذب الطبيعي) ولا واسعاً جداً (يفسد نسبة المخاطرة).</w:t>
      </w:r>
    </w:p>
    <w:p>
      <w:pPr>
        <w:pStyle w:val="Heading2"/>
        <w:bidi/>
        <w:spacing w:after="140" w:before="240"/>
        <w:jc w:val="right"/>
      </w:pPr>
      <w:r>
        <w:rPr>
          <w:rFonts w:ascii="Arial" w:cs="Arial" w:eastAsia="Arial" w:hAnsi="Arial"/>
          <w:b/>
          <w:bCs/>
          <w:color w:val="2E75B6"/>
          <w:sz w:val="27"/>
          <w:szCs w:val="27"/>
        </w:rPr>
        <w:t xml:space="preserve">الخطوة 5: جني الأرباح (Take Profit)</w:t>
      </w:r>
    </w:p>
    <w:p>
      <w:pPr>
        <w:pStyle w:val="ListParagraph"/>
        <w:numPr>
          <w:ilvl w:val="0"/>
          <w:numId w:val="2"/>
        </w:numPr>
        <w:bidi/>
        <w:spacing w:after="90" w:line="300"/>
        <w:jc w:val="right"/>
      </w:pPr>
      <w:r>
        <w:rPr>
          <w:rFonts w:ascii="Arial" w:cs="Arial" w:eastAsia="Arial" w:hAnsi="Arial"/>
          <w:sz w:val="24"/>
          <w:szCs w:val="24"/>
        </w:rPr>
        <w:t xml:space="preserve">الهدف الأول: امتداد فيبوناتشي 161.8% من الموجة 1.</w:t>
      </w:r>
    </w:p>
    <w:p>
      <w:pPr>
        <w:pStyle w:val="ListParagraph"/>
        <w:numPr>
          <w:ilvl w:val="0"/>
          <w:numId w:val="2"/>
        </w:numPr>
        <w:bidi/>
        <w:spacing w:after="90" w:line="300"/>
        <w:jc w:val="right"/>
      </w:pPr>
      <w:r>
        <w:rPr>
          <w:rFonts w:ascii="Arial" w:cs="Arial" w:eastAsia="Arial" w:hAnsi="Arial"/>
          <w:sz w:val="24"/>
          <w:szCs w:val="24"/>
        </w:rPr>
        <w:t xml:space="preserve">الهدف الثاني: امتداد فيبوناتشي 261.8% (للموجات القوية).</w:t>
      </w:r>
    </w:p>
    <w:p>
      <w:pPr>
        <w:pStyle w:val="ListParagraph"/>
        <w:numPr>
          <w:ilvl w:val="0"/>
          <w:numId w:val="2"/>
        </w:numPr>
        <w:bidi/>
        <w:spacing w:after="90" w:line="300"/>
        <w:jc w:val="right"/>
      </w:pPr>
      <w:r>
        <w:rPr>
          <w:rFonts w:ascii="Arial" w:cs="Arial" w:eastAsia="Arial" w:hAnsi="Arial"/>
          <w:sz w:val="24"/>
          <w:szCs w:val="24"/>
        </w:rPr>
        <w:t xml:space="preserve">الجني الجزئي: أغلق نصف الصفقة عند الهدف الأول، وحرّك الوقف لنقطة الدخول (تأمين الصفقة)، ودع النصف الآخر للهدف الثاني.</w:t>
      </w:r>
    </w:p>
    <w:p>
      <w:pPr>
        <w:pStyle w:val="Heading2"/>
        <w:bidi/>
        <w:spacing w:after="140" w:before="240"/>
        <w:jc w:val="right"/>
      </w:pPr>
      <w:r>
        <w:rPr>
          <w:rFonts w:ascii="Arial" w:cs="Arial" w:eastAsia="Arial" w:hAnsi="Arial"/>
          <w:b/>
          <w:bCs/>
          <w:color w:val="2E75B6"/>
          <w:sz w:val="27"/>
          <w:szCs w:val="27"/>
        </w:rPr>
        <w:t xml:space="preserve">الخطوة 6: التحقق من نسبة العائد/المخاطرة قبل الدخول</w:t>
      </w:r>
    </w:p>
    <w:p>
      <w:pPr>
        <w:bidi/>
        <w:spacing w:after="120" w:before="0" w:line="300"/>
        <w:jc w:val="right"/>
      </w:pPr>
      <w:r>
        <w:rPr>
          <w:rFonts w:ascii="Arial" w:cs="Arial" w:eastAsia="Arial" w:hAnsi="Arial"/>
          <w:sz w:val="24"/>
          <w:szCs w:val="24"/>
        </w:rPr>
        <w:t xml:space="preserve">النسبة = (المسافة للهدف) ÷ (المسافة للوقف). يجب أن تكون 1:2 على الأقل. إذا كانت سيئة (أقل من 1:1) فتخطَّ الصفقة حتى لو كان العدّ صحيحاً — تطبيق صحيح + نسبة سيئة = لا تدخل.</w:t>
      </w:r>
    </w:p>
    <w:p>
      <w:pPr>
        <w:pStyle w:val="Heading2"/>
        <w:bidi/>
        <w:spacing w:after="140" w:before="240"/>
        <w:jc w:val="right"/>
      </w:pPr>
      <w:r>
        <w:rPr>
          <w:rFonts w:ascii="Arial" w:cs="Arial" w:eastAsia="Arial" w:hAnsi="Arial"/>
          <w:b/>
          <w:bCs/>
          <w:color w:val="2E75B6"/>
          <w:sz w:val="27"/>
          <w:szCs w:val="27"/>
        </w:rPr>
        <w:t xml:space="preserve">الخطوة 7: حساب حجم المركز (إدارة المخاطر)</w:t>
      </w:r>
    </w:p>
    <w:p>
      <w:pPr>
        <w:pStyle w:val="ListParagraph"/>
        <w:numPr>
          <w:ilvl w:val="0"/>
          <w:numId w:val="2"/>
        </w:numPr>
        <w:bidi/>
        <w:spacing w:after="90" w:line="300"/>
        <w:jc w:val="right"/>
      </w:pPr>
      <w:r>
        <w:rPr>
          <w:rFonts w:ascii="Arial" w:cs="Arial" w:eastAsia="Arial" w:hAnsi="Arial"/>
          <w:sz w:val="24"/>
          <w:szCs w:val="24"/>
        </w:rPr>
        <w:t xml:space="preserve">لا تخاطر بأكثر من 1-2% من رأس مالك في الصفقة الواحدة.</w:t>
      </w:r>
    </w:p>
    <w:p>
      <w:pPr>
        <w:pStyle w:val="ListParagraph"/>
        <w:numPr>
          <w:ilvl w:val="0"/>
          <w:numId w:val="2"/>
        </w:numPr>
        <w:bidi/>
        <w:spacing w:after="90" w:line="300"/>
        <w:jc w:val="right"/>
      </w:pPr>
      <w:r>
        <w:rPr>
          <w:rFonts w:ascii="Arial" w:cs="Arial" w:eastAsia="Arial" w:hAnsi="Arial"/>
          <w:sz w:val="24"/>
          <w:szCs w:val="24"/>
        </w:rPr>
        <w:t xml:space="preserve">حجم المركز = (المبلغ المسموح بخسارته) ÷ (مسافة وقف الخسارة بالنقاط).</w:t>
      </w:r>
    </w:p>
    <w:p>
      <w:pPr>
        <w:pStyle w:val="ListParagraph"/>
        <w:numPr>
          <w:ilvl w:val="0"/>
          <w:numId w:val="2"/>
        </w:numPr>
        <w:bidi/>
        <w:spacing w:after="90" w:line="300"/>
        <w:jc w:val="right"/>
      </w:pPr>
      <w:r>
        <w:rPr>
          <w:rFonts w:ascii="Arial" w:cs="Arial" w:eastAsia="Arial" w:hAnsi="Arial"/>
          <w:sz w:val="24"/>
          <w:szCs w:val="24"/>
        </w:rPr>
        <w:t xml:space="preserve">على CFD: انتبه للرافعة، رسوم التبييت، والفجوات السعرية (قد تتجاوز وقفك).</w:t>
      </w:r>
    </w:p>
    <w:p>
      <w:pPr>
        <w:pStyle w:val="Heading1"/>
        <w:bidi/>
        <w:spacing w:after="200" w:before="320"/>
        <w:jc w:val="right"/>
      </w:pPr>
      <w:r>
        <w:rPr>
          <w:rFonts w:ascii="Arial" w:cs="Arial" w:eastAsia="Arial" w:hAnsi="Arial"/>
          <w:b/>
          <w:bCs/>
          <w:color w:val="1F4E79"/>
          <w:sz w:val="32"/>
          <w:szCs w:val="32"/>
        </w:rPr>
        <w:t xml:space="preserve">٦. نقطة البطلان (Invalidation)</w:t>
      </w:r>
    </w:p>
    <w:p>
      <w:pPr>
        <w:bidi/>
        <w:spacing w:after="120" w:before="0" w:line="300"/>
        <w:jc w:val="right"/>
      </w:pPr>
      <w:r>
        <w:rPr>
          <w:rFonts w:ascii="Arial" w:cs="Arial" w:eastAsia="Arial" w:hAnsi="Arial"/>
          <w:sz w:val="24"/>
          <w:szCs w:val="24"/>
        </w:rPr>
        <w:t xml:space="preserve">لكل صفقة نقطة بطلان واضحة تُحدَّد قبل الدخول — المستوى الذي تقول عنده "أنا مخطئ وأخرج". الالتزام بها دون تردد هو ما يفصل المتداول الناجح عن غيره.</w:t>
      </w:r>
    </w:p>
    <w:p>
      <w:pPr>
        <w:pStyle w:val="ListParagraph"/>
        <w:numPr>
          <w:ilvl w:val="0"/>
          <w:numId w:val="2"/>
        </w:numPr>
        <w:bidi/>
        <w:spacing w:after="90" w:line="300"/>
        <w:jc w:val="right"/>
      </w:pPr>
      <w:r>
        <w:rPr>
          <w:rFonts w:ascii="Arial" w:cs="Arial" w:eastAsia="Arial" w:hAnsi="Arial"/>
          <w:sz w:val="24"/>
          <w:szCs w:val="24"/>
        </w:rPr>
        <w:t xml:space="preserve">إن كُسرت بإغلاق → ألغِ السيناريو، لا تدخل (إن لم تكن دخلت)، أو دع الوقف يعمل (إن دخلت).</w:t>
      </w:r>
    </w:p>
    <w:p>
      <w:pPr>
        <w:pStyle w:val="ListParagraph"/>
        <w:numPr>
          <w:ilvl w:val="0"/>
          <w:numId w:val="2"/>
        </w:numPr>
        <w:bidi/>
        <w:spacing w:after="90" w:line="300"/>
        <w:jc w:val="right"/>
      </w:pPr>
      <w:r>
        <w:rPr>
          <w:rFonts w:ascii="Arial" w:cs="Arial" w:eastAsia="Arial" w:hAnsi="Arial"/>
          <w:sz w:val="24"/>
          <w:szCs w:val="24"/>
        </w:rPr>
        <w:t xml:space="preserve">لا تحرّك الوقف للأسفل بحجة "سيعود" — هذا أخطر خطأ يحوّل خسارة صغيرة إلى كارثة.</w:t>
      </w:r>
    </w:p>
    <w:p>
      <w:pPr>
        <w:pStyle w:val="Heading1"/>
        <w:bidi/>
        <w:spacing w:after="200" w:before="320"/>
        <w:jc w:val="right"/>
      </w:pPr>
      <w:r>
        <w:rPr>
          <w:rFonts w:ascii="Arial" w:cs="Arial" w:eastAsia="Arial" w:hAnsi="Arial"/>
          <w:b/>
          <w:bCs/>
          <w:color w:val="1F4E79"/>
          <w:sz w:val="32"/>
          <w:szCs w:val="32"/>
        </w:rPr>
        <w:t xml:space="preserve">٧. الملخص السريع (تسلسل التنفيذ)</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Pr>
              <w:t xml:space="preserve">الخطوة</w:t>
            </w:r>
          </w:p>
        </w:tc>
        <w:tc>
          <w:tcPr>
            <w:tcW w:type="dxa" w:w="7800"/>
            <w:tcBorders>
              <w:top w:val="single" w:color="B0B0B0" w:sz="1"/>
              <w:left w:val="single" w:color="B0B0B0" w:sz="1"/>
              <w:bottom w:val="single" w:color="B0B0B0" w:sz="1"/>
              <w:right w:val="single" w:color="B0B0B0"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Pr>
              <w:t xml:space="preserve">الإجراء</w:t>
            </w:r>
          </w:p>
        </w:tc>
      </w:tr>
      <w:tr>
        <w:tc>
          <w:tcPr>
            <w:tcW w:type="dxa" w:w="1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1</w:t>
            </w:r>
          </w:p>
        </w:tc>
        <w:tc>
          <w:tcPr>
            <w:tcW w:type="dxa" w:w="7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حلّل البنية على H1 وحدّد موقعك في الدورة</w:t>
            </w:r>
          </w:p>
        </w:tc>
      </w:tr>
      <w:tr>
        <w:tc>
          <w:tcPr>
            <w:tcW w:type="dxa" w:w="156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2</w:t>
            </w:r>
          </w:p>
        </w:tc>
        <w:tc>
          <w:tcPr>
            <w:tcW w:type="dxa" w:w="780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تحقق من القواعد الصارمة الثلاث يدوياً</w:t>
            </w:r>
          </w:p>
        </w:tc>
      </w:tr>
      <w:tr>
        <w:tc>
          <w:tcPr>
            <w:tcW w:type="dxa" w:w="1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3</w:t>
            </w:r>
          </w:p>
        </w:tc>
        <w:tc>
          <w:tcPr>
            <w:tcW w:type="dxa" w:w="7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انتظر اكتمال الموجة C (تجاوز قمة B + دايفرجنس + شمعة انعكاسية)</w:t>
            </w:r>
          </w:p>
        </w:tc>
      </w:tr>
      <w:tr>
        <w:tc>
          <w:tcPr>
            <w:tcW w:type="dxa" w:w="156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4</w:t>
            </w:r>
          </w:p>
        </w:tc>
        <w:tc>
          <w:tcPr>
            <w:tcW w:type="dxa" w:w="780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ادخل على فريم 15 في اتجاه H1 بعد التأكيد</w:t>
            </w:r>
          </w:p>
        </w:tc>
      </w:tr>
      <w:tr>
        <w:tc>
          <w:tcPr>
            <w:tcW w:type="dxa" w:w="1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5</w:t>
            </w:r>
          </w:p>
        </w:tc>
        <w:tc>
          <w:tcPr>
            <w:tcW w:type="dxa" w:w="7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ضع الوقف تحت القاع + هامش ATR</w:t>
            </w:r>
          </w:p>
        </w:tc>
      </w:tr>
      <w:tr>
        <w:tc>
          <w:tcPr>
            <w:tcW w:type="dxa" w:w="156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6</w:t>
            </w:r>
          </w:p>
        </w:tc>
        <w:tc>
          <w:tcPr>
            <w:tcW w:type="dxa" w:w="780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ارسم Fib Extension وحدّد الأهداف (161.8% و261.8%)</w:t>
            </w:r>
          </w:p>
        </w:tc>
      </w:tr>
      <w:tr>
        <w:tc>
          <w:tcPr>
            <w:tcW w:type="dxa" w:w="1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7</w:t>
            </w:r>
          </w:p>
        </w:tc>
        <w:tc>
          <w:tcPr>
            <w:tcW w:type="dxa" w:w="7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تحقق أن النسبة ≥ 1:2 قبل الدخول</w:t>
            </w:r>
          </w:p>
        </w:tc>
      </w:tr>
      <w:tr>
        <w:tc>
          <w:tcPr>
            <w:tcW w:type="dxa" w:w="156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8</w:t>
            </w:r>
          </w:p>
        </w:tc>
        <w:tc>
          <w:tcPr>
            <w:tcW w:type="dxa" w:w="7800"/>
            <w:tcBorders>
              <w:top w:val="single" w:color="B0B0B0" w:sz="1"/>
              <w:left w:val="single" w:color="B0B0B0" w:sz="1"/>
              <w:bottom w:val="single" w:color="B0B0B0" w:sz="1"/>
              <w:right w:val="single" w:color="B0B0B0" w:sz="1"/>
            </w:tcBorders>
            <w:shd w:fill="EAF1F8"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احسب حجم المركز (مخاطرة 1-2% فقط)</w:t>
            </w:r>
          </w:p>
        </w:tc>
      </w:tr>
      <w:tr>
        <w:tc>
          <w:tcPr>
            <w:tcW w:type="dxa" w:w="15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9</w:t>
            </w:r>
          </w:p>
        </w:tc>
        <w:tc>
          <w:tcPr>
            <w:tcW w:type="dxa" w:w="78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pPr>
              <w:bidi/>
              <w:jc w:val="right"/>
            </w:pPr>
            <w:r>
              <w:rPr>
                <w:rFonts w:ascii="Arial" w:cs="Arial" w:eastAsia="Arial" w:hAnsi="Arial"/>
                <w:b w:val="false"/>
                <w:bCs w:val="false"/>
                <w:sz w:val="22"/>
                <w:szCs w:val="22"/>
              </w:rPr>
              <w:t xml:space="preserve">اجنِ الأرباح جزئياً وحرّك الوقف لنقطة الدخول</w:t>
            </w:r>
          </w:p>
        </w:tc>
      </w:tr>
    </w:tbl>
    <w:p>
      <w:pPr>
        <w:pStyle w:val="Heading1"/>
        <w:bidi/>
        <w:spacing w:after="200" w:before="320"/>
        <w:jc w:val="right"/>
      </w:pPr>
      <w:r>
        <w:rPr>
          <w:rFonts w:ascii="Arial" w:cs="Arial" w:eastAsia="Arial" w:hAnsi="Arial"/>
          <w:b/>
          <w:bCs/>
          <w:color w:val="1F4E79"/>
          <w:sz w:val="32"/>
          <w:szCs w:val="32"/>
        </w:rPr>
        <w:t xml:space="preserve">٨. تنبيهات ذهبية</w:t>
      </w:r>
    </w:p>
    <w:p>
      <w:pPr>
        <w:pStyle w:val="ListParagraph"/>
        <w:numPr>
          <w:ilvl w:val="0"/>
          <w:numId w:val="2"/>
        </w:numPr>
        <w:bidi/>
        <w:spacing w:after="90" w:line="300"/>
        <w:jc w:val="right"/>
      </w:pPr>
      <w:r>
        <w:rPr>
          <w:rFonts w:ascii="Arial" w:cs="Arial" w:eastAsia="Arial" w:hAnsi="Arial"/>
          <w:sz w:val="24"/>
          <w:szCs w:val="24"/>
        </w:rPr>
        <w:t xml:space="preserve">العدّ احتمالي لا يقيني — احتفظ دائماً بسيناريو بديل ونقطة بطلان.</w:t>
      </w:r>
    </w:p>
    <w:p>
      <w:pPr>
        <w:pStyle w:val="ListParagraph"/>
        <w:numPr>
          <w:ilvl w:val="0"/>
          <w:numId w:val="2"/>
        </w:numPr>
        <w:bidi/>
        <w:spacing w:after="90" w:line="300"/>
        <w:jc w:val="right"/>
      </w:pPr>
      <w:r>
        <w:rPr>
          <w:rFonts w:ascii="Arial" w:cs="Arial" w:eastAsia="Arial" w:hAnsi="Arial"/>
          <w:sz w:val="24"/>
          <w:szCs w:val="24"/>
        </w:rPr>
        <w:t xml:space="preserve">المؤشرات الآلية (LuxAlgo) تعيد الرسم — استخدمها كمساعد، وأكّد يدوياً.</w:t>
      </w:r>
    </w:p>
    <w:p>
      <w:pPr>
        <w:pStyle w:val="ListParagraph"/>
        <w:numPr>
          <w:ilvl w:val="0"/>
          <w:numId w:val="2"/>
        </w:numPr>
        <w:bidi/>
        <w:spacing w:after="90" w:line="300"/>
        <w:jc w:val="right"/>
      </w:pPr>
      <w:r>
        <w:rPr>
          <w:rFonts w:ascii="Arial" w:cs="Arial" w:eastAsia="Arial" w:hAnsi="Arial"/>
          <w:sz w:val="24"/>
          <w:szCs w:val="24"/>
        </w:rPr>
        <w:t xml:space="preserve">الصبر على التأكيد أربح من التعجّل. أفضل المتداولين يرفضون صفقات كثيرة.</w:t>
      </w:r>
    </w:p>
    <w:p>
      <w:pPr>
        <w:pStyle w:val="ListParagraph"/>
        <w:numPr>
          <w:ilvl w:val="0"/>
          <w:numId w:val="2"/>
        </w:numPr>
        <w:bidi/>
        <w:spacing w:after="90" w:line="300"/>
        <w:jc w:val="right"/>
      </w:pPr>
      <w:r>
        <w:rPr>
          <w:rFonts w:ascii="Arial" w:cs="Arial" w:eastAsia="Arial" w:hAnsi="Arial"/>
          <w:sz w:val="24"/>
          <w:szCs w:val="24"/>
        </w:rPr>
        <w:t xml:space="preserve">إدارة المخاطر تحميك حتى لو أخطأت في العدّ — وهي ما يُبقيك في السوق.</w:t>
      </w:r>
    </w:p>
    <w:p>
      <w:pPr>
        <w:pStyle w:val="ListParagraph"/>
        <w:numPr>
          <w:ilvl w:val="0"/>
          <w:numId w:val="2"/>
        </w:numPr>
        <w:bidi/>
        <w:spacing w:after="90" w:line="300"/>
        <w:jc w:val="right"/>
      </w:pPr>
      <w:r>
        <w:rPr>
          <w:rFonts w:ascii="Arial" w:cs="Arial" w:eastAsia="Arial" w:hAnsi="Arial"/>
          <w:sz w:val="24"/>
          <w:szCs w:val="24"/>
        </w:rPr>
        <w:t xml:space="preserve">تدرّب بالنظر (Paper Trading) حتى ترى اتساقاً عبر 20-30 صفقة قبل المال الحقيقي.</w:t>
      </w:r>
    </w:p>
    <w:p>
      <w:pPr>
        <w:pStyle w:val="ListParagraph"/>
        <w:numPr>
          <w:ilvl w:val="0"/>
          <w:numId w:val="2"/>
        </w:numPr>
        <w:bidi/>
        <w:spacing w:after="90" w:line="300"/>
        <w:jc w:val="right"/>
      </w:pPr>
      <w:r>
        <w:rPr>
          <w:rFonts w:ascii="Arial" w:cs="Arial" w:eastAsia="Arial" w:hAnsi="Arial"/>
          <w:sz w:val="24"/>
          <w:szCs w:val="24"/>
        </w:rPr>
        <w:t xml:space="preserve">راقب العامل الإخباري — خبر مفاجئ قد يكسر أي تحليل بفجوة سعرية.</w:t>
      </w:r>
    </w:p>
    <w:p>
      <w:pPr>
        <w:pBdr>
          <w:top w:val="single" w:color="B0B0B0" w:sz="1"/>
          <w:bottom w:val="single" w:color="B0B0B0" w:sz="1"/>
        </w:pBdr>
        <w:shd w:fill="FFF2CC" w:val="clear"/>
        <w:bidi/>
        <w:spacing w:before="240"/>
        <w:jc w:val="right"/>
      </w:pPr>
      <w:r>
        <w:rPr>
          <w:rFonts w:ascii="Arial" w:cs="Arial" w:eastAsia="Arial" w:hAnsi="Arial"/>
          <w:b/>
          <w:bCs/>
          <w:color w:val="7F6000"/>
          <w:sz w:val="21"/>
          <w:szCs w:val="21"/>
        </w:rPr>
        <w:t xml:space="preserve">هذه الوثيقة لأغراض تعليمية فقط ولا تُعدّ توصية مالية. القرار وإدارة رأس المال مسؤوليتك وحدك.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2026-06-05T02:49:36.682Z</dcterms:created>
  <dcterms:modified xsi:type="dcterms:W3CDTF">2026-06-05T02:49:36.682Z</dcterms:modified>
</cp:coreProperties>
</file>

<file path=docProps/custom.xml><?xml version="1.0" encoding="utf-8"?>
<Properties xmlns="http://schemas.openxmlformats.org/officeDocument/2006/custom-properties" xmlns:vt="http://schemas.openxmlformats.org/officeDocument/2006/docPropsVTypes"/>
</file>