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Домашняя работа #3 RL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Первое задание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Эксперимент 1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Необходимо было выбрать гамму с наибольшим значением награды.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00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Чем больше гамма, тем больше значение средней награды. Интересно то, что при значение гамма 1.0 все работает. Видимо из-за того, что среда конечна.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 гаммы 0.99999 наибольшее значение награды.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Второе задание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Эксперимент 1</w:t>
      </w: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policy_evaluation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eval_iter_n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eval_iter_n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v_values = policy_evaluation_step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policy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q_values = get_q_values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q_values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Добавил bootstrapping значений. Уменьшил количество итераций, чтобы проверить есть ли преимущество в скорости сходимости, но ответ приблизительно такой же. Это странно. Возможно стоило бы попробовать с другой средой.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 этой среде не совсем понятно насколько bootstrapping увеличивает точность.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Третье задание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Эксперимент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Написал value iteration. Получились следующие результаты для гиперпараметров. Не совсем было ясно какие еще гиперпараметры поэтому были исследованы тета и гамма. По сравнению с policy iteration total reward немного выше.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Попробуем теперь сравнить по вызовам среды.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Это графики сходимости при разных гамма. У value iteration theta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1e-5.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 iteration сходится за значительно меньшее количество вызовов.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JqGKRZ8GLehA9ck4gShDLlXUhg==">AMUW2mVYu/c9tqTHzhB+HjYiMby6Iq970U7BC4Wumv6SPN6h+Q50y77q5EDhHPWt3N1V+jKPYkdmIfTocs+6RyS5y+AyIePJbB4gklzJOdZLckek2y5WxQ1LwztVmWiTgb1BlDFh5M0Aqd9e9h38NR+OJigxrH7thFHO0RytcHYyuROmgIDokHIO2/KhDrIPzm92/mmVwZAyiJ4TKK0XodAQ0r7iS5RS8UNUU4cMQ+/FyH6YK7lgZLE2B/uZ6Lqb6uwcevEA+LlcaOouPSwJR/S19M5MLYJXgGhhbujB1ybWFjysaaYN6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