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Item</w:t>
            </w:r>
          </w:p>
        </w:tc>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Page number</w:t>
            </w:r>
          </w:p>
        </w:tc>
      </w:tr>
      <w:tr>
        <w:trPr>
          <w:trHeight w:val="360" w:hRule="auto"/>
        </w:trPr>
        body 1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of contents</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Appendix 1: Further details on our use of multiple imputation by chained equations.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 Comparison of study and full sample's sociodemographic characteristics, MIREC study, Canada, 2008-11.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S2. Adjustedᵃ associations between chemical mixtures and SRS-2 T-scores using quantile g-computation,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S3. Adjustedᵃ associations between chemical mixtures and SRS-2 T-scores using quantile g-computation and assessing modification by child sex, including quantile g-computation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S4. Adjustedᵃ associations between chemical mixtures and SRS-2 T-scores using quantile g-computation and assessing modification by gestational folic acid supplementation, including quantile g-computation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S5. Adjustedᵃ associations between chemical mixtures and SRS-2 T-scores using quantile g-computation and assessing modification by plasma total folate concentrations, including quantile g-computation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S6. Adjustedᵃ associations between chemical mixtures and SRS-2 T-scores using weighted quantile sum regression, including weighted quantile sum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S7. Adjustedᵃ associations between chemical mixtures and SRS-2 T-scores using quantile g-computation and assessing modification by plasma unmetabolized folic acid concentrations, including quantile g-computation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S8. Adjustedᵃ associations (additionally controlling for gestational fish consumption) between chemical mixtures and SRS-2 T-scores using quantile g-computation, including quantile g-computation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S9. Adjustedᵃ associations between chemical mixtures and SRS-2 T-scores using quantile g-computation without inverse probability weighting,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S10. Adjustedᵃ associations between chemical mixtures and SRS-2 T-scores using quantile g-computation and assessing modification by gestational folic acid supplementation without inverse probability weighting,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S11. Adjustedᵃ associations between chemical mixtures and SRS-2 T-scores using quantile g-computation and assessing modification by plasma total folate concentrations without inverse probability weighting,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Figure S1. Flow chart of study participants in sample, the MIREC Study, Canada, 2008-11.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Figure S2. Directed acyclic graph depicting our assumptions about the relationship between gestational environmental chemical mixtures and autistic behaviors.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body16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References</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6"/>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S2. Adjustedᵃ associations between chemical mixtures and SRS-2 T-scores using quantile g-computation, including weights,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tcBorders>
              <w:bottom w:val="single" w:sz="12"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 1.2)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 0.7)</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 0.1)</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 0.9)</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1.0)</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footer 1
        <w:tc>
          <w:tcPr>
            <w:gridSpan w:val="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S3. Adjustedᵃ associations between chemical mixtures and SRS-2 T-scores using quantile g-computation and assessing modification by child sex, including quantile g-computation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Child sex</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Female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1.8)</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0.43</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p>
      <w:pPr>
        <w:sectPr w:officer="true">
          <w:pgSz w:h="16838" w:w="11906" w:orient="portrait"/>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S4. Adjustedᵃ associations between chemical mixtures and SRS-2 T-scores using quantile g-computation and assessing modification by gestational folic acid supplementation, including quantile g-computation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FA supplementationᵇ (µg/day)</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3.9)</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3.3)</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1.8)</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3.6)</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6.6)</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2.7)</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-0.09</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0.62</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Folic acid supplementation was primarily measured via a survey conducted at 16 weeks gestation, which queried intake in the past 30 days. We also used data from the 24-hour recall version of this survey and a questionnaire completed at study enrollment (6-13 weeks gestation).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S5. Adjustedᵃ associations between chemical mixtures and SRS-2 T-scores using quantile g-computation and assessing modification by plasma total folate concentrations, including quantile g-computation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Plasma total folate concentrationᵇ</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3.3)</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2.1)</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2.2)</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4.0)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(-4.3,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sum of 5-formyl-THF, 5-10-methylene-THF, THF, UMFA, and 5-methyl-THF.</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THF, Tetrahydrofolate; UMFA, Unmetabolized folic acid; SRS-2, Social Responsiveness Scale-2; β-HCH, β-Hexachlorocyclohexane; %ile, Percentile.</w:t>
            </w:r>
          </w:p>
        </w:tc>
      </w:tr>
    </w:tbl>
    <w:p>
      <w:pPr/>
      <w:r>
        <w:br w:type="page"/>
      </w:r>
    </w:p>
    <w:p>
      <w:pPr>
        <w:sectPr w:officer="true">
          <w:pgSz w:h="11906" w:w="16838" w:orient="landscape"/>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S6. Adjustedᵃ associations between chemical mixtures and SRS-2 T-scores using weighted quantile sum regression, including weighted quantile sum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Partial effect</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Weights are averaged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S7. Adjustedᵃ associations between chemical mixtures and SRS-2 T-scores using quantile g-computation and assessing modification by plasma unmetabolized folic acid concentrations, including quantile g-computation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Plasma unmetabolized folic acid concentrations</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 %ile, Percentile.</w:t>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6"/>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S8. Adjustedᵃ associations (additionally controlling for gestational fish consumption) between chemical mixtures and SRS-2 T-scores using quantile g-computation, including quantile g-computation weights,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tcBorders>
              <w:bottom w:val="single" w:sz="12"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 1.1)</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 0.7)</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 0.1)</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 1.0)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1.1)</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-0.23</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footer 1
        <w:tc>
          <w:tcPr>
            <w:gridSpan w:val="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gestational fish consumption, child sex,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6"/>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S9. Adjustedᵃ associations between chemical mixtures and SRS-2 T-scores using quantile g-computation without inverse probability weighting,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tcBorders>
              <w:bottom w:val="single" w:sz="12"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 0.7)</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0.4)</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 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 0.6)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 0.4)</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footer 1
        <w:tc>
          <w:tcPr>
            <w:gridSpan w:val="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not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p>
      <w:pPr>
        <w:sectPr w:officer="true">
          <w:pgSz w:h="16838" w:w="11906" w:orient="portrait"/>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S10. Adjustedᵃ associations between chemical mixtures and SRS-2 T-scores using quantile g-computation and assessing modification by gestational folic acid supplementation without inverse probability weighting,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FA supplementationᵇ (µg/day)</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&gt;1000</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3.3)</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2.7)</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2.1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6.3)</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2.0)</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-0.13</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-0.01</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0.92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not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Folic acid supplementation was primarily measured via a survey conducted at 16 weeks gestation, which queried intake in the past 30 days. We also used data from the 24-hour recall version of this survey and a questionnaire completed at study enrollment (6-13 weeks gestation).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Table S11. Adjustedᵃ associations between chemical mixtures and SRS-2 T-scores using quantile g-computation and assessing modification by plasma total folate concentrations without inverse probability weighting,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Plasma total folate concentrationᵇ</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&gt;80ᵗʰ %ile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2.1)</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2.9)</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(-4.0,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-0.59</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-0.02</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-0.39</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-0.15</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-0.57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0.19</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0.31</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-0.06</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0.22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0.05</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Arial" w:eastAsia="Arial" w:cs="Arial"/>
                <w:i w:val="false"/>
                <w:b w:val="false"/>
                <w:u w:val="none"/>
                <w:sz w:val="19"/>
                <w:szCs w:val="19"/>
                <w:color w:val="000000"/>
              </w:rPr>
            </w:pPr>
            <w:r>
              <w:rPr>
                <w:rFonts w:ascii="Calibri" w:hAnsi="Arial" w:eastAsia="Arial" w:cs="Arial"/>
                <w:i w:val="false"/>
                <w:b w:val="false"/>
                <w:u w:val="none"/>
                <w:sz w:val="19"/>
                <w:szCs w:val="19"/>
                <w:color w:val="000000"/>
              </w:rPr>
              <w:t xml:space="preserve">a: Controls for the following variables: child sex, child age at SRS-2 assessment, HOME score, household income, relationship status, maternal education, maternal race, maternal age, parity, smoking status, city of residence, and year of enrollment. Effect estimates are pooled across 10 multiply imputed datasets. Stabilized inverse probability weights are not applied.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sum of 5-formyl-THF, 5-10-methylene-THF, THF, UMFA, and 5-methyl-THF.</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THF, Tetrahydrofolate; UMFA, Unmetabolized folic acid; SRS-2, Social Responsiveness Scale-2; β-HCH, β-Hexachlorocyclohexane; %ile, Percentile.</w:t>
            </w:r>
          </w:p>
        </w:tc>
      </w:tr>
    </w:tbl>
    <w:p>
      <w:pPr>
        <w:sectPr w:officer="true">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2025-04-29T15:05:25Z</dcterms:modified>
  <cp:category/>
</cp:coreProperties>
</file>