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9E8F" w14:textId="77777777" w:rsidR="00453A5D" w:rsidRDefault="00453A5D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556"/>
        <w:gridCol w:w="1459"/>
        <w:gridCol w:w="2337"/>
      </w:tblGrid>
      <w:tr w:rsidR="00453A5D" w:rsidRPr="00E479C7" w14:paraId="0074D701" w14:textId="77777777">
        <w:trPr>
          <w:tblHeader/>
          <w:jc w:val="center"/>
        </w:trPr>
        <w:tc>
          <w:tcPr>
            <w:tcW w:w="0" w:type="auto"/>
            <w:gridSpan w:val="3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7226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bookmarkStart w:id="0" w:name="_Hlk196833570"/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Table 1. Sociodemographic characteristics of participants, MIREC study, Canada, 2008-11 (n = 601).</w:t>
            </w:r>
          </w:p>
        </w:tc>
      </w:tr>
      <w:tr w:rsidR="00453A5D" w:rsidRPr="00E479C7" w14:paraId="32C97AC3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8ED03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4B4B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jc w:val="center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569C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jc w:val="center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Mean SRS-2 score (SD)</w:t>
            </w:r>
          </w:p>
        </w:tc>
      </w:tr>
      <w:tr w:rsidR="00453A5D" w:rsidRPr="00E479C7" w14:paraId="07088397" w14:textId="77777777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4761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4B73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601 (100.0)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D5452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45.3 (6.1)</w:t>
            </w:r>
          </w:p>
        </w:tc>
      </w:tr>
      <w:tr w:rsidR="00453A5D" w:rsidRPr="00E479C7" w14:paraId="424247A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FB5D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Child sex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411E0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9837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275943E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3AB10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62CAE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290 (48.3)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B49A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46.6 (6.5)</w:t>
            </w:r>
          </w:p>
        </w:tc>
      </w:tr>
      <w:tr w:rsidR="00453A5D" w:rsidRPr="00E479C7" w14:paraId="5B8C4F9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959E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A2EA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311 (51.7)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E703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44.2 (5.3)</w:t>
            </w:r>
          </w:p>
        </w:tc>
      </w:tr>
      <w:tr w:rsidR="00453A5D" w:rsidRPr="00E479C7" w14:paraId="3B98929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6CE44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Maternal age at enrollment (years)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E231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4352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2A20B96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D1AD9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18 - 29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EF2B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132 (22.0)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31385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46.7 (5.6)</w:t>
            </w:r>
          </w:p>
        </w:tc>
      </w:tr>
      <w:tr w:rsidR="00453A5D" w:rsidRPr="00E479C7" w14:paraId="708FA7E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317C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30 - 35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464E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292 (48.6)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D329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45.3 (6.4)</w:t>
            </w:r>
          </w:p>
        </w:tc>
      </w:tr>
      <w:tr w:rsidR="00453A5D" w:rsidRPr="00E479C7" w14:paraId="354810C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4B38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≥36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7864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177 (29.5)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4E07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44.4 (5.8)</w:t>
            </w:r>
          </w:p>
        </w:tc>
      </w:tr>
      <w:tr w:rsidR="00453A5D" w:rsidRPr="00E479C7" w14:paraId="0C2F67F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8588B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Living with partner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99374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AA381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5C4AFFB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B830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B3EC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580 (96.5)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3E33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45.2 (6.0)</w:t>
            </w:r>
          </w:p>
        </w:tc>
      </w:tr>
      <w:tr w:rsidR="00453A5D" w:rsidRPr="00E479C7" w14:paraId="1820889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123D7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BB76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21 (3.5)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C54DD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48.8 (7.3)</w:t>
            </w:r>
          </w:p>
        </w:tc>
      </w:tr>
      <w:tr w:rsidR="00453A5D" w:rsidRPr="00E479C7" w14:paraId="48627C4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D3E8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Maternal race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2BB9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13C7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1305CFF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6A3F9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White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401B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539 (89.7)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10B92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45.1 (6.1)</w:t>
            </w:r>
          </w:p>
        </w:tc>
      </w:tr>
      <w:tr w:rsidR="00453A5D" w:rsidRPr="00E479C7" w14:paraId="5246F27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CF43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1994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62 (10.3)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0D3E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47.1 (5.7)</w:t>
            </w:r>
          </w:p>
        </w:tc>
      </w:tr>
      <w:tr w:rsidR="00453A5D" w:rsidRPr="00E479C7" w14:paraId="31D900E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A611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Education level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88EF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F97D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511C43D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BB16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High school or less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24CB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30 (5.0)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94581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47.8 (7.1)</w:t>
            </w:r>
          </w:p>
        </w:tc>
      </w:tr>
      <w:tr w:rsidR="00453A5D" w:rsidRPr="00E479C7" w14:paraId="531401F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2C6F3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College or trade school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3531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167 (27.8)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05545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46.2 (5.8)</w:t>
            </w:r>
          </w:p>
        </w:tc>
      </w:tr>
      <w:tr w:rsidR="00453A5D" w:rsidRPr="00E479C7" w14:paraId="7418138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7E80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Undergraduate university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C953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239 (39.8)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19F2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45.4 (6.6)</w:t>
            </w:r>
          </w:p>
        </w:tc>
      </w:tr>
      <w:tr w:rsidR="00453A5D" w:rsidRPr="00E479C7" w14:paraId="1768FE4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3DB6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Graduate university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6713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163 (27.1)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43CB1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44.0 (5.1)</w:t>
            </w:r>
          </w:p>
        </w:tc>
      </w:tr>
      <w:tr w:rsidR="00453A5D" w:rsidRPr="00E479C7" w14:paraId="2BF0F64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01E6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Missing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5A40D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2 (0.3)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7C36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5ADC8AC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44F97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Annual household income ($CAD)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E393C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836C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0C4BB66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6F4D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≤$40,000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C9D9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61 (10.1)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3A63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47.9 (6.1)</w:t>
            </w:r>
          </w:p>
        </w:tc>
      </w:tr>
      <w:tr w:rsidR="00453A5D" w:rsidRPr="00E479C7" w14:paraId="266789C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E12A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$40,001 - $80,000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EE3D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173 (28.8)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55CE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46.3 (6.3)</w:t>
            </w:r>
          </w:p>
        </w:tc>
      </w:tr>
      <w:tr w:rsidR="00453A5D" w:rsidRPr="00E479C7" w14:paraId="70ADE59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EEEF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$80,001 - $100,000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3DE3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116 (19.3)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6F912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45.1 (6.1)</w:t>
            </w:r>
          </w:p>
        </w:tc>
      </w:tr>
      <w:tr w:rsidR="00453A5D" w:rsidRPr="00E479C7" w14:paraId="68BFC1E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D47E4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&gt;$100,000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C9AC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231 (38.4)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AF23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44.1 (5.6)</w:t>
            </w:r>
          </w:p>
        </w:tc>
      </w:tr>
      <w:tr w:rsidR="00453A5D" w:rsidRPr="00E479C7" w14:paraId="02D0339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DD1B9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Missing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358C9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20 (3.3)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1E1CD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3D4914C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F197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Parity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D725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7421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51E00BC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FF9FA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Nulliparous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CF2C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261 (43.4)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C5A4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46.1 (6.1)</w:t>
            </w:r>
          </w:p>
        </w:tc>
      </w:tr>
      <w:tr w:rsidR="00453A5D" w:rsidRPr="00E479C7" w14:paraId="3E45D0B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C987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Uniparous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2EE6D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251 (41.8)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18FC8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44.6 (5.7)</w:t>
            </w:r>
          </w:p>
        </w:tc>
      </w:tr>
      <w:tr w:rsidR="00453A5D" w:rsidRPr="00E479C7" w14:paraId="46AB25E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977D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Multiparous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4C0F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89 (14.8)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B763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45.1 (6.9)</w:t>
            </w:r>
          </w:p>
        </w:tc>
      </w:tr>
      <w:tr w:rsidR="00453A5D" w:rsidRPr="00E479C7" w14:paraId="123473E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1AEA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HOME 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5BBA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FA473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6FD6329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E0CD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≥48 (median)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2CC53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323 (53.7)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5A4E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44.3 (5.3)</w:t>
            </w:r>
          </w:p>
        </w:tc>
      </w:tr>
      <w:tr w:rsidR="00453A5D" w:rsidRPr="00E479C7" w14:paraId="00B2AF2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6C94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&lt;48 (median)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51359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260 (43.3)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3643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46.7 (6.7)</w:t>
            </w:r>
          </w:p>
        </w:tc>
      </w:tr>
      <w:tr w:rsidR="00453A5D" w:rsidRPr="00E479C7" w14:paraId="3F2DFA1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5A2DC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Missing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5C743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18 (3.0)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2583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7D5803D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F322B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Smoked during pregnancy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8D36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A388B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7908BB9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072F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Yes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ᵃ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55E14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47 (7.8)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1475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48.2 (6.8)</w:t>
            </w:r>
          </w:p>
        </w:tc>
      </w:tr>
      <w:tr w:rsidR="00453A5D" w:rsidRPr="00E479C7" w14:paraId="594D451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AAE9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39910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554 (92.2)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F4A5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45.1 (6.0)</w:t>
            </w:r>
          </w:p>
        </w:tc>
      </w:tr>
      <w:tr w:rsidR="00453A5D" w:rsidRPr="00E479C7" w14:paraId="52A610A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6E50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Year of enrollment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A172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B569A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4BCB613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FE82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2008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9646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10 (1.7)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2B520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48.0 (5.0)</w:t>
            </w:r>
          </w:p>
        </w:tc>
      </w:tr>
      <w:tr w:rsidR="00453A5D" w:rsidRPr="00E479C7" w14:paraId="3A01F30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D7DF4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2009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E6F7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187 (31.1)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A45BB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45.2 (6.1)</w:t>
            </w:r>
          </w:p>
        </w:tc>
      </w:tr>
      <w:tr w:rsidR="00453A5D" w:rsidRPr="00E479C7" w14:paraId="1665A74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4E9B8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2010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72F0E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381 (63.4)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05A1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45.3 (6.1)</w:t>
            </w:r>
          </w:p>
        </w:tc>
      </w:tr>
      <w:tr w:rsidR="00453A5D" w:rsidRPr="00E479C7" w14:paraId="5E8971C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F8564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406B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23 (3.8)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D22B6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46.0 (6.2)</w:t>
            </w:r>
          </w:p>
        </w:tc>
      </w:tr>
      <w:tr w:rsidR="00453A5D" w:rsidRPr="00E479C7" w14:paraId="7D46BF7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2BC5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Child age at SRS assessment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1927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DF49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014CC17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4C05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≥40 months (median)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3069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322 (53.6)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008C1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45.0 (6.5)</w:t>
            </w:r>
          </w:p>
        </w:tc>
      </w:tr>
      <w:tr w:rsidR="00453A5D" w:rsidRPr="00E479C7" w14:paraId="5F83C6C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599AF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&lt;40 months (median)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D108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279 (46.4)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C1B2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45.8 (5.5)</w:t>
            </w:r>
          </w:p>
        </w:tc>
      </w:tr>
      <w:tr w:rsidR="00453A5D" w:rsidRPr="00E479C7" w14:paraId="12BA913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40C5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First trimester fish 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BC67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9867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71AC952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1D71B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0-2 times per month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5DE68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220 (36.6)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20D14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45.8 (6.1)</w:t>
            </w:r>
          </w:p>
        </w:tc>
      </w:tr>
      <w:tr w:rsidR="00453A5D" w:rsidRPr="00E479C7" w14:paraId="33E95BC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C22F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3-7 times per month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28AB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209 (34.8)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E650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45.3 (6.3)</w:t>
            </w:r>
          </w:p>
        </w:tc>
      </w:tr>
      <w:tr w:rsidR="00453A5D" w:rsidRPr="00E479C7" w14:paraId="7931FD4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2135F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≥8 times per month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DA96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169 (28.1)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77360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44.9 (5.7)</w:t>
            </w:r>
          </w:p>
        </w:tc>
      </w:tr>
      <w:tr w:rsidR="00453A5D" w:rsidRPr="00E479C7" w14:paraId="71FF9E5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E2047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Missing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8FFF6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3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54BC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1E0E2FC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B4F77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Folic acid supplementation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ᵇ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87D6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DD1B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79D9CCC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B860A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&lt;400 µg per day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1EF91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34 (5.7)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087E2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45.4 (5.5)</w:t>
            </w:r>
          </w:p>
        </w:tc>
      </w:tr>
      <w:tr w:rsidR="00453A5D" w:rsidRPr="00E479C7" w14:paraId="0058AC1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F86F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400 - 1000 µg per day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7897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423 (70.4)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1085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45.3 (6.2)</w:t>
            </w:r>
          </w:p>
        </w:tc>
      </w:tr>
      <w:tr w:rsidR="00453A5D" w:rsidRPr="00E479C7" w14:paraId="4C284EA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A5CD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lastRenderedPageBreak/>
              <w:t xml:space="preserve">   &gt;1000 µg per day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B9332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144 (24.0)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AD8B4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45.4 (6.0)</w:t>
            </w:r>
          </w:p>
        </w:tc>
      </w:tr>
      <w:tr w:rsidR="00453A5D" w:rsidRPr="00E479C7" w14:paraId="414529F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F2228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Plasma total folate concentrations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ᶜ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342A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43515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0D51D5F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B411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&lt;10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ᵗ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ʰ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percentile (65.6 nmol/L)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ABE4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48 (8.0)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F411E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45.5 (6.6)</w:t>
            </w:r>
          </w:p>
        </w:tc>
      </w:tr>
      <w:tr w:rsidR="00453A5D" w:rsidRPr="00E479C7" w14:paraId="4DD8448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5C2B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10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ᵗ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ʰ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- 80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ᵗ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ʰ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percentile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EA5A1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409 (68.1)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DA52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45.3 (6.2)</w:t>
            </w:r>
          </w:p>
        </w:tc>
      </w:tr>
      <w:tr w:rsidR="00453A5D" w:rsidRPr="00E479C7" w14:paraId="6DC90DF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A70A5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&gt;80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ᵗ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ʰ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percentile (125 nmol/L)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05636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116 (19.3)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84198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45.4 (5.6)</w:t>
            </w:r>
          </w:p>
        </w:tc>
      </w:tr>
      <w:tr w:rsidR="00453A5D" w:rsidRPr="00E479C7" w14:paraId="4B9BE70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92A26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Missing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CBD9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28 (4.7)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307B8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113629C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A2F5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Unmetabolized folic acid concentrations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648C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3D01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4DA6991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8087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≤80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ᵗ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ʰ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percentile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599D5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461 (76.7)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2B3C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45.6 (6.4)</w:t>
            </w:r>
          </w:p>
        </w:tc>
      </w:tr>
      <w:tr w:rsidR="00453A5D" w:rsidRPr="00E479C7" w14:paraId="59260CB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617A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&gt;80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ᵗ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ʰ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percentile (13.6 nmol/L)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42F6F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112 (18.6)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C6BF3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44.5 (4.9)</w:t>
            </w:r>
          </w:p>
        </w:tc>
      </w:tr>
      <w:tr w:rsidR="00453A5D" w:rsidRPr="00E479C7" w14:paraId="457C80E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8E3E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  Missing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7981E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>28 (4.7)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AE8F" w14:textId="77777777" w:rsidR="00453A5D" w:rsidRPr="00E479C7" w:rsidRDefault="00453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453A5D" w:rsidRPr="00E479C7" w14:paraId="30B4D1E2" w14:textId="77777777" w:rsidTr="00E479C7">
        <w:trPr>
          <w:trHeight w:val="2193"/>
          <w:jc w:val="center"/>
        </w:trPr>
        <w:tc>
          <w:tcPr>
            <w:tcW w:w="0" w:type="auto"/>
            <w:gridSpan w:val="3"/>
            <w:tcBorders>
              <w:top w:val="single" w:sz="12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B3A9F" w14:textId="77777777" w:rsidR="00453A5D" w:rsidRPr="00E479C7" w:rsidRDefault="002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0" w:right="20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a: Includes current smokers and individuals who quit during pregnancy. 'Non-smoker' includes participants who did not smoke and former smokers. 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br/>
              <w:t xml:space="preserve"> b: Folic acid supplementation was primarily measured via a survey conducted at 16 weeks gestation, which queri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ed intake in the past 30 days. We also used data from the 24-hour recall version of this survey and a questionnaire completed at study enrollment (6-13 weeks gestation). 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br/>
              <w:t xml:space="preserve"> c: Sum of 5-formyl-THF, 5-10-methylene-THF, THF, UMFA, 5-methyl-THF. 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br/>
              <w:t>Abbreviations:</w:t>
            </w:r>
            <w:r w:rsidRPr="00E479C7">
              <w:rPr>
                <w:rFonts w:ascii="Calibri" w:eastAsia="Arial" w:hAnsi="Calibri" w:cs="Calibri"/>
                <w:color w:val="000000"/>
                <w:sz w:val="20"/>
                <w:szCs w:val="20"/>
              </w:rPr>
              <w:t xml:space="preserve"> CAD, Canadian dollar; HOME, Home Observation for Measurement of the Environment; MIREC, Maternal-Infant Research on Environmental Chemicals Study; SD, Standard Deviation; SRS, Social Responsiveness Scale.</w:t>
            </w:r>
          </w:p>
        </w:tc>
      </w:tr>
      <w:bookmarkEnd w:id="0"/>
    </w:tbl>
    <w:p w14:paraId="23E4A910" w14:textId="77777777" w:rsidR="0028494E" w:rsidRPr="00E479C7" w:rsidRDefault="0028494E">
      <w:pPr>
        <w:rPr>
          <w:rFonts w:ascii="Calibri" w:hAnsi="Calibri" w:cs="Calibri"/>
          <w:sz w:val="20"/>
          <w:szCs w:val="20"/>
        </w:rPr>
      </w:pPr>
    </w:p>
    <w:sectPr w:rsidR="0028494E" w:rsidRPr="00E479C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A5D"/>
    <w:rsid w:val="0028494E"/>
    <w:rsid w:val="00453A5D"/>
    <w:rsid w:val="00E4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BB15"/>
  <w15:docId w15:val="{B6B973AA-28A8-416A-9D4D-9433D284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435</Words>
  <Characters>2612</Characters>
  <Application>Microsoft Office Word</Application>
  <DocSecurity>0</DocSecurity>
  <Lines>290</Lines>
  <Paragraphs>138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Josh Alampi</cp:lastModifiedBy>
  <cp:revision>10</cp:revision>
  <dcterms:created xsi:type="dcterms:W3CDTF">2017-02-28T11:18:00Z</dcterms:created>
  <dcterms:modified xsi:type="dcterms:W3CDTF">2025-04-29T22:42:00Z</dcterms:modified>
  <cp:category/>
</cp:coreProperties>
</file>