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Table 1. Sociodemographic characteristics of participants, MIREC study, Canada, 2008-11 (n = 601).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SRS-2 score (SD)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601 (100.0)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 (6.1)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 (48.3)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46.6 (6.5)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 (51.7)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44.2 (5.3)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age at enrollment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46.7 (5.6)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30 - 35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 (6.4)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 (5.8)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580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45.2 (6.0)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48.8 (7.3)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45.1 (6.1)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47.1 (5.7)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47.8 (7.1)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College or trade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46.2 (5.8)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Undergraduate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 (6.6)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Graduate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 (5.1)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 household income ($CAD)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≤$40,000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47.9 (6.1)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$40,001 - $80,000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46.3 (6.3)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$80,001 -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45.1 (6.1)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 (38.4)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44.1 (5.6)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Nulliparous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46.1 (6.1)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44.6 (5.7)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Multiparous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45.1 (6.9)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≥48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323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44.3 (5.3)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&lt;48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46.7 (6.7)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Smoked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Yesᵃ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48.2 (6.8)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45.1 (6.0)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First trimester fish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0-2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45.8 (6.1)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3-7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 (34.8)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 (6.3)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≥8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 (28.1)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44.9 (5.7)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Folic acid supplementationᵇ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&lt;400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 (5.5)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400 - 1000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 (70.4)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 (6.2)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&gt;1000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 (6.0)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Plasma total folate concentrationsᶜ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&lt;10ᵗʰ percentile (65.6 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45.5 (6.6)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10ᵗʰ - 80ᵗʰ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 (68.1)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 (6.2)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&gt;80ᵗʰ percentile (125 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 (5.6)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Unmetabolized folic acid concentrations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≤80ᵗʰ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 (76.7)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45.6 (6.4)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&gt;80ᵗʰ percentile (13.6 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44.5 (4.9)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(4.7)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Includes current smokers and individuals who quit during pregnancy. 'Non-smoker' includes participants who did not smoke and former smokers.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b: Folic acid supplementation was primarily measured via a survey conducted at 16 weeks gestation, which queried intake in the past 30 days. We also used data from the 24-hour recall version of this survey and a questionnaire completed at study enrollment (6-13 weeks gestation).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c: Sum of 5-formyl-THF, 5-10-methylene-THF, THF, UMFA, 5-methyl-THF.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Abbreviations: CAD, Canadian dollar; HOME, Home Observation for Measurement of the Environment; MIREC, Maternal-Infant Research on Environmental Chemicals Study; SD, Standard Deviation; SRS, Social Responsiveness Scale.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2024-10-25T16:07:59Z</dcterms:modified>
  <cp:category/>
</cp:coreProperties>
</file>