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Table S1. Comparison of study and full sample's sociodemographic characteristics, MIREC study, Canada, 2008-11.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Study sample (mother-child pairs with an SRS-2 score)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Full sample (singleton live births) without an SRS-2 score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(%)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601 (100.0)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1261 (100.0)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 (48.3)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689 (54.6)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311 (51.7)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567 (45.0)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age at enrollment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 &lt; .001*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18 - 29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374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30 - 35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493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≥36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394 (31.2)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Living with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580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1187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 &lt; .001*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539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1052 (83.4)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 &lt; .001*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High school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College or trade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371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Undergraduate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 (35.3)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Graduate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 (24.9)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 household income ($CAD)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≤$40,000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$40,001 - $80,000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$80,001 -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&gt;$100,000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 (38.4)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486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Nulliparous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Uniparous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 (41.8)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 (39.9)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Multiparous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≥48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323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&lt;48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Smoked during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 &lt; .001*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Yesᵃ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1086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 of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 &lt; .001*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 (31.1)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 (42.5)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381 (63.4)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529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First trimester fish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0-2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497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3-7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 (34.8)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421 (33.4)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≥8 times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 (28.1)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Folic acid supplementationᵇ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&lt;400 µg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400 - 1000 µg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 (70.4)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890 (70.6)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&gt;1000 µg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Plasma total folate concentrationsᶜ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&lt;65.6 nmol/L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≥65.6 nmol/L &amp; ≤125 nmol/L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 (68.1)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 (62.3)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&gt;125 nmol/L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Unmetabolized folic acid concentrationsᵈ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≤13.6 nmol/L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 (76.7)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927 (73.5)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&gt;13.6 nmol/L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0" w:right="20" w:firstLine="0" w:firstLineChars="0"/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*: Denotes a Chi-square (comparing the study and full sample) test P-value less than 0.05. All P-values are two-sided.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a: Includes current smokers and individuals who quit during pregnancy. 'Non-smoker' includes participants who did not smoke and former smokers.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b: Folic acid supplementation was primarily measured via a survey conducted at 16 weeks gestation, which queried intake in the past 30 days. We also used data from the 24-hour recall version of this survey and a questionnaire completed at study enrollment (6-13 weeks gestation).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c: Sum of 5-formyl-THF, 5-10-methylene-THF, THF, UMFA, 5-methyl-THF. 65.6 nmol/L and 125 nmol/L are the 10th and 80th percentiles of plasma total folate concentrations in the study sample.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d: 13.6 nmol/L is the 80th percentile of unmetabolized folic acid concentrations in the study sample. 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Abbreviations: CAD, Canadian dollar; HOME, Home Observation for Measurement of the Environment; MIREC, Maternal-Infant Research on Environmental Chemicals Study; SD, Standard Deviation; SRS, Social Responsiveness Scale.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2025-03-24T15:36:39Z</dcterms:modified>
  <cp:category/>
</cp:coreProperties>
</file>