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Table S1. Comparison of study and full sample's sociodemographic characteristics, MIREC study, Canada, 2008-11.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Study sample (mother-child pairs with an SRS-2 score)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Full sample (singleton live births) without an SRS-2 score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p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n (%)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601 (100.0)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1261 (100.0)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Child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0.009*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290 (48.3)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689 (54.6)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311 (51.7)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567 (45.0)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Maternal age at enrollment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p &lt; .001*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18 - 29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132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374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30 - 35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292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493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≥36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177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394 (31.2)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Living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0.04*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580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1187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74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Maternal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p &lt; .001*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539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1052 (83.4)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209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p &lt; .001*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High school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30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131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College or trade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167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371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Undergraduate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239 (39.8)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445 (35.3)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Graduate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163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314 (24.9)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Annual household income ($CAD)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≤$40,000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61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165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$40,001 - $80,000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173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301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$80,001 -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116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243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&gt;$100,000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231 (38.4)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486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20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66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Parity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Nulliparous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261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553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Uniparous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251 (41.8)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503 (39.9)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Multiparous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89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205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HOME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≥48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323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&lt;48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260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18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1252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Smoked during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p &lt; .001*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Yesᵃ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47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174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554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1086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First trimester fish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0-2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220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497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3-7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209 (34.8)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421 (33.4)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≥8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169 (28.1)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340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Folic acid supplementationᵇ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&lt;400 µg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34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65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400 - 1000 µg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423 (70.4)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890 (70.6)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&gt;1000 µg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144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306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Plasma total folate concentrationsᶜ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&lt;65.6 nmol/L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48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155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≥65.6 nmol/L &amp; ≤125 nmol/L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409 (68.1)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785 (62.3)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&gt;125 nmol/L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116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229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28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92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Unmetabolized folic acid concentrationsᵈ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≤13.6 nmol/L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461 (76.7)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927 (73.5)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&gt;13.6 nmol/L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112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242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  Missing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28 (4.7)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92 (7.3)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*: Denotes a Chi-square (comparing the study and full sample) test P-value less than 0.05. All P-values are two-sided.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a: Includes current smokers and individuals who quit during pregnancy. 'Non-smoker' includes participants who did not smoke and former smokers. 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b: Folic acid supplementation was primarily measured via a survey conducted at 16 weeks gestation, which queried intake in the past 30 days. We also used data from the 24-hour recall version of this survey and a questionnaire completed at study enrollment (6-13 weeks gestation). 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c: Sum of 5-formyl-THF, 5-10-methylene-THF, THF, UMFA, 5-methyl-THF. 65.6 nmol/L and 125 nmol/L are the 10th and 80th percentiles of plasma total folate concentrations in the study sample. 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 d: 13.6 nmol/L is the 80th percentile of unmetabolized folic acid concentrations in the study sample. 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19"/>
                <w:szCs w:val="19"/>
                <w:color w:val="000000"/>
              </w:rPr>
              <w:t xml:space="preserve">Abbreviations: CAD, Canadian dollar; HOME, Home Observation for Measurement of the Environment; MIREC, Maternal-Infant Research on Environmental Chemicals Study; SD, Standard Deviation; SRS, Social Responsiveness Scale.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2024-11-15T16:10:24Z</dcterms:modified>
  <cp:category/>
</cp:coreProperties>
</file>