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5425" w14:textId="6ED1EF9C" w:rsidR="004A2B73" w:rsidRPr="004A2B73" w:rsidRDefault="004A2B73" w:rsidP="004A2B73">
      <w:pPr>
        <w:rPr>
          <w:rFonts w:ascii="Times New Roman" w:hAnsi="Times New Roman" w:cs="Times New Roman"/>
          <w:b/>
          <w:bCs/>
          <w:color w:val="747474" w:themeColor="background2" w:themeShade="80"/>
        </w:rPr>
      </w:pPr>
      <w:r w:rsidRPr="004A2B73">
        <w:rPr>
          <w:rFonts w:ascii="Times New Roman" w:hAnsi="Times New Roman" w:cs="Times New Roman"/>
          <w:b/>
          <w:bCs/>
          <w:color w:val="747474" w:themeColor="background2" w:themeShade="80"/>
        </w:rPr>
        <w:t xml:space="preserve">Jala Verdiyeva, </w:t>
      </w:r>
      <w:r w:rsidRPr="004A2B73">
        <w:rPr>
          <w:rFonts w:ascii="Times New Roman" w:hAnsi="Times New Roman" w:cs="Times New Roman"/>
          <w:b/>
          <w:bCs/>
          <w:color w:val="747474" w:themeColor="background2" w:themeShade="80"/>
        </w:rPr>
        <w:t>E6275.1</w:t>
      </w:r>
    </w:p>
    <w:p w14:paraId="433CC378" w14:textId="21C20847" w:rsidR="004A2B73" w:rsidRPr="004A2B73" w:rsidRDefault="004A2B73" w:rsidP="004A2B73">
      <w:pPr>
        <w:rPr>
          <w:rFonts w:ascii="Times New Roman" w:hAnsi="Times New Roman" w:cs="Times New Roman"/>
          <w:b/>
          <w:bCs/>
          <w:color w:val="747474" w:themeColor="background2" w:themeShade="80"/>
        </w:rPr>
      </w:pPr>
      <w:r w:rsidRPr="004A2B73">
        <w:rPr>
          <w:rFonts w:ascii="Times New Roman" w:hAnsi="Times New Roman" w:cs="Times New Roman"/>
          <w:b/>
          <w:bCs/>
          <w:color w:val="747474" w:themeColor="background2" w:themeShade="80"/>
        </w:rPr>
        <w:t>Executive Summary: The Digital Pulse of Cultural Heritage</w:t>
      </w:r>
    </w:p>
    <w:p w14:paraId="323B3B0F" w14:textId="77777777" w:rsidR="004A2B73" w:rsidRPr="004A2B73" w:rsidRDefault="004A2B73" w:rsidP="004A2B73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4A2B73">
        <w:rPr>
          <w:rFonts w:ascii="Times New Roman" w:hAnsi="Times New Roman" w:cs="Times New Roman"/>
          <w:b/>
          <w:bCs/>
          <w:i/>
          <w:iCs/>
        </w:rPr>
        <w:t>1. The Consistency of Passion (Sentiment Stability)</w:t>
      </w:r>
    </w:p>
    <w:p w14:paraId="25557A81" w14:textId="71E9AADD" w:rsidR="004A2B73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>The experiments with confidence thresholds (</w:t>
      </w:r>
      <w:r w:rsidRPr="004A2B73">
        <w:rPr>
          <w:rFonts w:ascii="Times New Roman" w:hAnsi="Times New Roman" w:cs="Times New Roman"/>
          <w:i/>
          <w:iCs/>
        </w:rPr>
        <w:t>T=0.6</w:t>
      </w:r>
      <w:r w:rsidRPr="004A2B73">
        <w:rPr>
          <w:rFonts w:ascii="Times New Roman" w:hAnsi="Times New Roman" w:cs="Times New Roman"/>
        </w:rPr>
        <w:t xml:space="preserve"> vs. </w:t>
      </w:r>
      <w:r w:rsidRPr="004A2B73">
        <w:rPr>
          <w:rFonts w:ascii="Times New Roman" w:hAnsi="Times New Roman" w:cs="Times New Roman"/>
          <w:i/>
          <w:iCs/>
        </w:rPr>
        <w:t>T=0.8</w:t>
      </w:r>
      <w:r w:rsidRPr="004A2B73">
        <w:rPr>
          <w:rFonts w:ascii="Times New Roman" w:hAnsi="Times New Roman" w:cs="Times New Roman"/>
        </w:rPr>
        <w:t>) yielded a rare result: The sentiment distribution remained identical. * Insight: In computational linguistics, this indicates "Semantic Decisiveness." Users aren't just leaving comments; they are making definitive statements. Whether it is a "Positive" praise of a "</w:t>
      </w:r>
      <w:r w:rsidRPr="004A2B73">
        <w:rPr>
          <w:rFonts w:ascii="Times New Roman" w:hAnsi="Times New Roman" w:cs="Times New Roman"/>
          <w:i/>
          <w:iCs/>
        </w:rPr>
        <w:t>dahi</w:t>
      </w:r>
      <w:r w:rsidRPr="004A2B73">
        <w:rPr>
          <w:rFonts w:ascii="Times New Roman" w:hAnsi="Times New Roman" w:cs="Times New Roman"/>
        </w:rPr>
        <w:t>" (genius) or a "Negative" correction of authorship, the vocabulary used is so strong and polarized that the AI reaches maximum confidence immediately.</w:t>
      </w:r>
    </w:p>
    <w:p w14:paraId="5B496859" w14:textId="77777777" w:rsidR="004A2B73" w:rsidRPr="004A2B73" w:rsidRDefault="004A2B73" w:rsidP="004A2B73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4A2B73">
        <w:rPr>
          <w:rFonts w:ascii="Times New Roman" w:hAnsi="Times New Roman" w:cs="Times New Roman"/>
          <w:b/>
          <w:bCs/>
          <w:i/>
          <w:iCs/>
        </w:rPr>
        <w:t>2. The "Nostalgia Gap" (Emoji Inconsistency)</w:t>
      </w:r>
    </w:p>
    <w:p w14:paraId="2A351518" w14:textId="77777777" w:rsidR="004A2B73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>The code successfully isolated a 5% inconsistency rate between text and emojis.</w:t>
      </w:r>
    </w:p>
    <w:p w14:paraId="51770FBC" w14:textId="093B9EA1" w:rsidR="004A2B73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 xml:space="preserve">Insight: While 95% of users are consistent, the 4% labeled "Contrast: Emotional/Moved" represents a deep human truth. The AI detects "Positive" text (praising the music) but sees "Negative" emojis (crying faces </w:t>
      </w:r>
      <w:r>
        <w:rPr>
          <w:rStyle w:val="math-inline"/>
          <w:rFonts w:ascii="Apple Color Emoji" w:hAnsi="Apple Color Emoji" w:cs="Apple Color Emoji"/>
        </w:rPr>
        <w:t>😢</w:t>
      </w:r>
      <w:r w:rsidRPr="004A2B73">
        <w:rPr>
          <w:rFonts w:ascii="Times New Roman" w:hAnsi="Times New Roman" w:cs="Times New Roman"/>
        </w:rPr>
        <w:t>). This isn't an error-it's a digital footprint of Saudade (a deep longing). The music is beautiful (Positive), but the memory of the past or the loss of the artist is painful (Negative).</w:t>
      </w:r>
    </w:p>
    <w:p w14:paraId="5FA38D37" w14:textId="77777777" w:rsidR="004A2B73" w:rsidRPr="004A2B73" w:rsidRDefault="004A2B73" w:rsidP="004A2B73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4A2B73">
        <w:rPr>
          <w:rFonts w:ascii="Times New Roman" w:hAnsi="Times New Roman" w:cs="Times New Roman"/>
          <w:b/>
          <w:bCs/>
          <w:i/>
          <w:iCs/>
        </w:rPr>
        <w:t>3. Semantic Clusters: The Authorship Battleground</w:t>
      </w:r>
    </w:p>
    <w:p w14:paraId="206D62BB" w14:textId="77777777" w:rsidR="004A2B73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>Using Sentence Transformers, the similarity analysis revealed that the conversation is not random-it is a concentrated debate.</w:t>
      </w:r>
    </w:p>
    <w:p w14:paraId="1F715B0E" w14:textId="3C37E449" w:rsidR="004A2B73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>Insight: The top words driving similarity</w:t>
      </w:r>
      <w:r>
        <w:rPr>
          <w:rFonts w:ascii="Times New Roman" w:hAnsi="Times New Roman" w:cs="Times New Roman"/>
        </w:rPr>
        <w:t xml:space="preserve"> </w:t>
      </w:r>
      <w:r w:rsidRPr="004A2B7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4A2B73">
        <w:rPr>
          <w:rFonts w:ascii="Times New Roman" w:hAnsi="Times New Roman" w:cs="Times New Roman"/>
        </w:rPr>
        <w:t>"</w:t>
      </w:r>
      <w:r w:rsidRPr="004A2B73">
        <w:rPr>
          <w:rFonts w:ascii="Times New Roman" w:hAnsi="Times New Roman" w:cs="Times New Roman"/>
          <w:i/>
          <w:iCs/>
        </w:rPr>
        <w:t>Emin</w:t>
      </w:r>
      <w:r w:rsidRPr="004A2B73">
        <w:rPr>
          <w:rFonts w:ascii="Times New Roman" w:hAnsi="Times New Roman" w:cs="Times New Roman"/>
        </w:rPr>
        <w:t>" (18), "</w:t>
      </w:r>
      <w:r w:rsidRPr="004A2B73">
        <w:rPr>
          <w:rFonts w:ascii="Times New Roman" w:hAnsi="Times New Roman" w:cs="Times New Roman"/>
          <w:i/>
          <w:iCs/>
        </w:rPr>
        <w:t>Paul</w:t>
      </w:r>
      <w:r w:rsidRPr="004A2B73">
        <w:rPr>
          <w:rFonts w:ascii="Times New Roman" w:hAnsi="Times New Roman" w:cs="Times New Roman"/>
        </w:rPr>
        <w:t>" (13), and "</w:t>
      </w:r>
      <w:r w:rsidRPr="004A2B73">
        <w:rPr>
          <w:rFonts w:ascii="Times New Roman" w:hAnsi="Times New Roman" w:cs="Times New Roman"/>
          <w:i/>
          <w:iCs/>
        </w:rPr>
        <w:t>Musiqi</w:t>
      </w:r>
      <w:r w:rsidRPr="004A2B73">
        <w:rPr>
          <w:rFonts w:ascii="Times New Roman" w:hAnsi="Times New Roman" w:cs="Times New Roman"/>
        </w:rPr>
        <w:t>" (11)</w:t>
      </w:r>
      <w:r>
        <w:rPr>
          <w:rFonts w:ascii="Times New Roman" w:hAnsi="Times New Roman" w:cs="Times New Roman"/>
        </w:rPr>
        <w:t xml:space="preserve"> </w:t>
      </w:r>
      <w:r w:rsidRPr="004A2B7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4A2B73">
        <w:rPr>
          <w:rFonts w:ascii="Times New Roman" w:hAnsi="Times New Roman" w:cs="Times New Roman"/>
        </w:rPr>
        <w:t>show that the community is actively engaged in a "Digital Correction" process.</w:t>
      </w:r>
    </w:p>
    <w:p w14:paraId="5ABEE7A0" w14:textId="5683F68A" w:rsidR="004A2B73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>Outlier Detection: The AI successfully ignored "temporal noise" (e.g., "</w:t>
      </w:r>
      <w:r w:rsidRPr="004A2B73">
        <w:rPr>
          <w:rFonts w:ascii="Times New Roman" w:hAnsi="Times New Roman" w:cs="Times New Roman"/>
          <w:i/>
          <w:iCs/>
        </w:rPr>
        <w:t>2025-ci ildən salamlar</w:t>
      </w:r>
      <w:r w:rsidRPr="004A2B73">
        <w:rPr>
          <w:rFonts w:ascii="Times New Roman" w:hAnsi="Times New Roman" w:cs="Times New Roman"/>
        </w:rPr>
        <w:t>") to focus on the core cultural debate, identifying only 5 true semantic outliers.</w:t>
      </w:r>
    </w:p>
    <w:p w14:paraId="68C8C029" w14:textId="77777777" w:rsidR="004A2B73" w:rsidRPr="004A2B73" w:rsidRDefault="004A2B73" w:rsidP="004A2B73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4A2B73">
        <w:rPr>
          <w:rFonts w:ascii="Times New Roman" w:hAnsi="Times New Roman" w:cs="Times New Roman"/>
          <w:b/>
          <w:bCs/>
          <w:i/>
          <w:iCs/>
        </w:rPr>
        <w:t>4. Strategic Semantic Mapping</w:t>
      </w:r>
    </w:p>
    <w:p w14:paraId="7880D954" w14:textId="77777777" w:rsidR="004A2B73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>By mapping intent to sentiment, the Rational Positive category emerged as the most stable.</w:t>
      </w:r>
    </w:p>
    <w:p w14:paraId="021E7610" w14:textId="4A7B67A1" w:rsidR="004A2B73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>Insight: When users discuss the "</w:t>
      </w:r>
      <w:r w:rsidRPr="004A2B73">
        <w:rPr>
          <w:rFonts w:ascii="Times New Roman" w:hAnsi="Times New Roman" w:cs="Times New Roman"/>
          <w:i/>
          <w:iCs/>
        </w:rPr>
        <w:t>əsər</w:t>
      </w:r>
      <w:r w:rsidRPr="004A2B73">
        <w:rPr>
          <w:rFonts w:ascii="Times New Roman" w:hAnsi="Times New Roman" w:cs="Times New Roman"/>
        </w:rPr>
        <w:t>" (work) or "</w:t>
      </w:r>
      <w:r w:rsidRPr="004A2B73">
        <w:rPr>
          <w:rFonts w:ascii="Times New Roman" w:hAnsi="Times New Roman" w:cs="Times New Roman"/>
          <w:i/>
          <w:iCs/>
        </w:rPr>
        <w:t>not</w:t>
      </w:r>
      <w:r w:rsidRPr="004A2B73">
        <w:rPr>
          <w:rFonts w:ascii="Times New Roman" w:hAnsi="Times New Roman" w:cs="Times New Roman"/>
        </w:rPr>
        <w:t>" (notes) objectively, the sentiment is overwhelmingly positive. However, the Direct Address category serves as the "venting" zone, where users challenge authors or uploaders, leading to the highest concentration of negative sentiment.</w:t>
      </w:r>
    </w:p>
    <w:p w14:paraId="5D7DED20" w14:textId="77777777" w:rsidR="004A2B73" w:rsidRPr="004A2B73" w:rsidRDefault="004A2B73" w:rsidP="004A2B73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4A2B73">
        <w:rPr>
          <w:rFonts w:ascii="Times New Roman" w:hAnsi="Times New Roman" w:cs="Times New Roman"/>
          <w:b/>
          <w:bCs/>
          <w:i/>
          <w:iCs/>
        </w:rPr>
        <w:t>Final Conclusion</w:t>
      </w:r>
    </w:p>
    <w:p w14:paraId="5946C490" w14:textId="27AA7B28" w:rsidR="005B7C11" w:rsidRPr="004A2B73" w:rsidRDefault="004A2B73" w:rsidP="004A2B73">
      <w:pPr>
        <w:jc w:val="both"/>
        <w:rPr>
          <w:rFonts w:ascii="Times New Roman" w:hAnsi="Times New Roman" w:cs="Times New Roman"/>
        </w:rPr>
      </w:pPr>
      <w:r w:rsidRPr="004A2B73">
        <w:rPr>
          <w:rFonts w:ascii="Times New Roman" w:hAnsi="Times New Roman" w:cs="Times New Roman"/>
        </w:rPr>
        <w:t>Your code proves that for the Azerbaijani audience, this music is more than audio; it is a chronological anchor. The high sentiment stability and the specific "emotional contrasts" suggest that the audience uses these platforms as a space for both historical preservation and collective mourning.</w:t>
      </w:r>
    </w:p>
    <w:sectPr w:rsidR="005B7C11" w:rsidRPr="004A2B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916"/>
    <w:multiLevelType w:val="multilevel"/>
    <w:tmpl w:val="8E28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7A4F"/>
    <w:multiLevelType w:val="multilevel"/>
    <w:tmpl w:val="FFE0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90521"/>
    <w:multiLevelType w:val="multilevel"/>
    <w:tmpl w:val="F236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401DC"/>
    <w:multiLevelType w:val="multilevel"/>
    <w:tmpl w:val="24E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1165E"/>
    <w:multiLevelType w:val="multilevel"/>
    <w:tmpl w:val="7F5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713A8"/>
    <w:multiLevelType w:val="multilevel"/>
    <w:tmpl w:val="AF1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78701">
    <w:abstractNumId w:val="4"/>
  </w:num>
  <w:num w:numId="2" w16cid:durableId="1686711435">
    <w:abstractNumId w:val="1"/>
  </w:num>
  <w:num w:numId="3" w16cid:durableId="362094410">
    <w:abstractNumId w:val="3"/>
  </w:num>
  <w:num w:numId="4" w16cid:durableId="1463574633">
    <w:abstractNumId w:val="2"/>
  </w:num>
  <w:num w:numId="5" w16cid:durableId="678586061">
    <w:abstractNumId w:val="5"/>
  </w:num>
  <w:num w:numId="6" w16cid:durableId="142896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11"/>
    <w:rsid w:val="000D50F9"/>
    <w:rsid w:val="004A2B73"/>
    <w:rsid w:val="005B7C11"/>
    <w:rsid w:val="00CE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99B36"/>
  <w15:chartTrackingRefBased/>
  <w15:docId w15:val="{FF3615C3-0887-7949-A89A-1D4ECA6D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11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4A2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 Verdiyeva</dc:creator>
  <cp:keywords/>
  <dc:description/>
  <cp:lastModifiedBy>Jala Verdiyeva</cp:lastModifiedBy>
  <cp:revision>2</cp:revision>
  <dcterms:created xsi:type="dcterms:W3CDTF">2026-01-19T15:08:00Z</dcterms:created>
  <dcterms:modified xsi:type="dcterms:W3CDTF">2026-01-19T15:21:00Z</dcterms:modified>
</cp:coreProperties>
</file>