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A3B" w:rsidRDefault="00853FB9" w:rsidP="00FE7B95">
      <w:pPr>
        <w:rPr>
          <w:rFonts w:ascii="Arial" w:hAnsi="Arial" w:cs="Arial"/>
          <w:b/>
          <w:sz w:val="20"/>
          <w:szCs w:val="20"/>
        </w:rPr>
      </w:pPr>
      <w:r>
        <w:rPr>
          <w:rFonts w:ascii="Arial" w:hAnsi="Arial" w:cs="Arial"/>
          <w:b/>
          <w:noProof/>
          <w:sz w:val="20"/>
          <w:szCs w:val="20"/>
        </w:rPr>
        <w:drawing>
          <wp:anchor distT="0" distB="0" distL="114300" distR="114300" simplePos="0" relativeHeight="251657728" behindDoc="0" locked="0" layoutInCell="1" allowOverlap="1">
            <wp:simplePos x="0" y="0"/>
            <wp:positionH relativeFrom="column">
              <wp:posOffset>-95250</wp:posOffset>
            </wp:positionH>
            <wp:positionV relativeFrom="paragraph">
              <wp:posOffset>-447675</wp:posOffset>
            </wp:positionV>
            <wp:extent cx="2057400" cy="695325"/>
            <wp:effectExtent l="19050" t="0" r="0" b="0"/>
            <wp:wrapSquare wrapText="bothSides"/>
            <wp:docPr id="6" name="Picture 0" descr="HighRes-NICB-100thAnniversaryLogo(rele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ighRes-NICB-100thAnniversaryLogo(releases).jpg"/>
                    <pic:cNvPicPr>
                      <a:picLocks noChangeAspect="1" noChangeArrowheads="1"/>
                    </pic:cNvPicPr>
                  </pic:nvPicPr>
                  <pic:blipFill>
                    <a:blip r:embed="rId6" cstate="print"/>
                    <a:srcRect/>
                    <a:stretch>
                      <a:fillRect/>
                    </a:stretch>
                  </pic:blipFill>
                  <pic:spPr bwMode="auto">
                    <a:xfrm>
                      <a:off x="0" y="0"/>
                      <a:ext cx="2057400" cy="695325"/>
                    </a:xfrm>
                    <a:prstGeom prst="rect">
                      <a:avLst/>
                    </a:prstGeom>
                    <a:noFill/>
                    <a:ln w="9525">
                      <a:noFill/>
                      <a:miter lim="800000"/>
                      <a:headEnd/>
                      <a:tailEnd/>
                    </a:ln>
                  </pic:spPr>
                </pic:pic>
              </a:graphicData>
            </a:graphic>
          </wp:anchor>
        </w:drawing>
      </w:r>
    </w:p>
    <w:p w:rsidR="00FE7B95" w:rsidRPr="00FE7B95" w:rsidRDefault="00FE7B95" w:rsidP="00FE7B95">
      <w:pPr>
        <w:rPr>
          <w:rFonts w:ascii="Arial" w:hAnsi="Arial" w:cs="Arial"/>
          <w:b/>
          <w:color w:val="FF0000"/>
          <w:sz w:val="20"/>
          <w:szCs w:val="20"/>
        </w:rPr>
      </w:pPr>
      <w:r w:rsidRPr="00FE7B95">
        <w:rPr>
          <w:rFonts w:ascii="Arial" w:hAnsi="Arial" w:cs="Arial"/>
          <w:b/>
          <w:sz w:val="20"/>
          <w:szCs w:val="20"/>
        </w:rPr>
        <w:tab/>
      </w:r>
      <w:r w:rsidRPr="00FE7B95">
        <w:rPr>
          <w:rFonts w:ascii="Arial" w:hAnsi="Arial" w:cs="Arial"/>
          <w:b/>
          <w:sz w:val="20"/>
          <w:szCs w:val="20"/>
        </w:rPr>
        <w:tab/>
      </w:r>
      <w:r w:rsidRPr="00FE7B95">
        <w:rPr>
          <w:rFonts w:ascii="Arial" w:hAnsi="Arial" w:cs="Arial"/>
          <w:b/>
          <w:sz w:val="20"/>
          <w:szCs w:val="20"/>
        </w:rPr>
        <w:tab/>
      </w:r>
      <w:r w:rsidRPr="00FE7B95">
        <w:rPr>
          <w:rFonts w:ascii="Arial" w:hAnsi="Arial" w:cs="Arial"/>
          <w:b/>
          <w:sz w:val="20"/>
          <w:szCs w:val="20"/>
        </w:rPr>
        <w:tab/>
      </w:r>
    </w:p>
    <w:p w:rsidR="00FC5A3B" w:rsidRDefault="00FC5A3B" w:rsidP="00FE7B95">
      <w:pPr>
        <w:rPr>
          <w:rFonts w:ascii="Arial" w:hAnsi="Arial" w:cs="Arial"/>
          <w:b/>
          <w:sz w:val="20"/>
          <w:szCs w:val="20"/>
        </w:rPr>
      </w:pPr>
    </w:p>
    <w:p w:rsidR="00FC5A3B" w:rsidRDefault="00FC5A3B" w:rsidP="00FE7B95">
      <w:pPr>
        <w:rPr>
          <w:rFonts w:ascii="Arial" w:hAnsi="Arial" w:cs="Arial"/>
          <w:b/>
          <w:sz w:val="20"/>
          <w:szCs w:val="20"/>
        </w:rPr>
      </w:pPr>
    </w:p>
    <w:p w:rsidR="00FE7B95" w:rsidRPr="00FE7B95" w:rsidRDefault="00FE7B95" w:rsidP="00FE7B95">
      <w:pPr>
        <w:rPr>
          <w:rFonts w:ascii="Arial" w:hAnsi="Arial" w:cs="Arial"/>
          <w:b/>
          <w:sz w:val="20"/>
          <w:szCs w:val="20"/>
        </w:rPr>
      </w:pPr>
      <w:r w:rsidRPr="00FE7B95">
        <w:rPr>
          <w:rFonts w:ascii="Arial" w:hAnsi="Arial" w:cs="Arial"/>
          <w:b/>
          <w:sz w:val="20"/>
          <w:szCs w:val="20"/>
        </w:rPr>
        <w:t xml:space="preserve">Contact:  </w:t>
      </w:r>
      <w:r w:rsidR="008E5E48">
        <w:rPr>
          <w:rFonts w:ascii="Arial" w:hAnsi="Arial" w:cs="Arial"/>
          <w:b/>
          <w:sz w:val="20"/>
          <w:szCs w:val="20"/>
        </w:rPr>
        <w:t xml:space="preserve"> </w:t>
      </w:r>
      <w:r w:rsidRPr="00FE7B95">
        <w:rPr>
          <w:rFonts w:ascii="Arial" w:hAnsi="Arial" w:cs="Arial"/>
          <w:b/>
          <w:sz w:val="20"/>
          <w:szCs w:val="20"/>
        </w:rPr>
        <w:t>Frank Scafidi</w:t>
      </w:r>
      <w:r w:rsidRPr="00FE7B95">
        <w:rPr>
          <w:rFonts w:ascii="Arial" w:hAnsi="Arial" w:cs="Arial"/>
          <w:b/>
          <w:sz w:val="20"/>
          <w:szCs w:val="20"/>
        </w:rPr>
        <w:tab/>
      </w:r>
      <w:r w:rsidRPr="00FE7B95">
        <w:rPr>
          <w:rFonts w:ascii="Arial" w:hAnsi="Arial" w:cs="Arial"/>
          <w:b/>
          <w:sz w:val="20"/>
          <w:szCs w:val="20"/>
        </w:rPr>
        <w:tab/>
      </w:r>
      <w:r w:rsidRPr="00FE7B95">
        <w:rPr>
          <w:rFonts w:ascii="Arial" w:hAnsi="Arial" w:cs="Arial"/>
          <w:b/>
          <w:sz w:val="20"/>
          <w:szCs w:val="20"/>
        </w:rPr>
        <w:tab/>
      </w:r>
      <w:r w:rsidRPr="00FE7B95">
        <w:rPr>
          <w:rFonts w:ascii="Arial" w:hAnsi="Arial" w:cs="Arial"/>
          <w:b/>
          <w:sz w:val="20"/>
          <w:szCs w:val="20"/>
        </w:rPr>
        <w:tab/>
      </w:r>
      <w:r w:rsidRPr="00FE7B95">
        <w:rPr>
          <w:rFonts w:ascii="Arial" w:hAnsi="Arial" w:cs="Arial"/>
          <w:b/>
          <w:sz w:val="20"/>
          <w:szCs w:val="20"/>
        </w:rPr>
        <w:tab/>
      </w:r>
      <w:r w:rsidRPr="008E5E48">
        <w:rPr>
          <w:rFonts w:ascii="Arial" w:hAnsi="Arial" w:cs="Arial"/>
          <w:b/>
          <w:sz w:val="20"/>
          <w:szCs w:val="20"/>
        </w:rPr>
        <w:t xml:space="preserve">June </w:t>
      </w:r>
      <w:r w:rsidR="008E5E48" w:rsidRPr="008E5E48">
        <w:rPr>
          <w:rFonts w:ascii="Arial" w:hAnsi="Arial" w:cs="Arial"/>
          <w:b/>
          <w:sz w:val="20"/>
          <w:szCs w:val="20"/>
        </w:rPr>
        <w:t>20</w:t>
      </w:r>
      <w:r w:rsidRPr="008E5E48">
        <w:rPr>
          <w:rFonts w:ascii="Arial" w:hAnsi="Arial" w:cs="Arial"/>
          <w:b/>
          <w:sz w:val="20"/>
          <w:szCs w:val="20"/>
        </w:rPr>
        <w:t>, 2012</w:t>
      </w:r>
    </w:p>
    <w:p w:rsidR="00FE7B95" w:rsidRPr="00FE7B95" w:rsidRDefault="00FE7B95" w:rsidP="00FE7B95">
      <w:pPr>
        <w:rPr>
          <w:rFonts w:ascii="Arial" w:hAnsi="Arial" w:cs="Arial"/>
          <w:b/>
          <w:sz w:val="20"/>
          <w:szCs w:val="20"/>
        </w:rPr>
      </w:pPr>
      <w:r w:rsidRPr="00FE7B95">
        <w:rPr>
          <w:rFonts w:ascii="Arial" w:hAnsi="Arial" w:cs="Arial"/>
          <w:b/>
          <w:sz w:val="20"/>
          <w:szCs w:val="20"/>
        </w:rPr>
        <w:tab/>
        <w:t xml:space="preserve">     916.979.1510</w:t>
      </w:r>
      <w:r w:rsidRPr="00FE7B95">
        <w:rPr>
          <w:rFonts w:ascii="Arial" w:hAnsi="Arial" w:cs="Arial"/>
          <w:b/>
          <w:sz w:val="20"/>
          <w:szCs w:val="20"/>
        </w:rPr>
        <w:tab/>
        <w:t xml:space="preserve">     </w:t>
      </w:r>
      <w:r w:rsidRPr="00FE7B95">
        <w:rPr>
          <w:rFonts w:ascii="Arial" w:hAnsi="Arial" w:cs="Arial"/>
          <w:b/>
          <w:sz w:val="20"/>
          <w:szCs w:val="20"/>
        </w:rPr>
        <w:tab/>
      </w:r>
      <w:r w:rsidRPr="00FE7B95">
        <w:rPr>
          <w:rFonts w:ascii="Arial" w:hAnsi="Arial" w:cs="Arial"/>
          <w:b/>
          <w:sz w:val="20"/>
          <w:szCs w:val="20"/>
        </w:rPr>
        <w:tab/>
      </w:r>
      <w:r w:rsidRPr="00FE7B95">
        <w:rPr>
          <w:rFonts w:ascii="Arial" w:hAnsi="Arial" w:cs="Arial"/>
          <w:b/>
          <w:sz w:val="20"/>
          <w:szCs w:val="20"/>
        </w:rPr>
        <w:tab/>
      </w:r>
      <w:r w:rsidRPr="00FE7B95">
        <w:rPr>
          <w:rFonts w:ascii="Arial" w:hAnsi="Arial" w:cs="Arial"/>
          <w:b/>
          <w:sz w:val="20"/>
          <w:szCs w:val="20"/>
        </w:rPr>
        <w:tab/>
      </w:r>
      <w:hyperlink r:id="rId7" w:history="1">
        <w:r w:rsidRPr="00FE7B95">
          <w:rPr>
            <w:rStyle w:val="Hyperlink"/>
            <w:rFonts w:ascii="Arial" w:hAnsi="Arial" w:cs="Arial"/>
            <w:b/>
            <w:sz w:val="20"/>
            <w:szCs w:val="20"/>
          </w:rPr>
          <w:t>www.nicb.org</w:t>
        </w:r>
      </w:hyperlink>
      <w:r w:rsidRPr="00FE7B95">
        <w:rPr>
          <w:rFonts w:ascii="Arial" w:hAnsi="Arial" w:cs="Arial"/>
          <w:b/>
          <w:sz w:val="20"/>
          <w:szCs w:val="20"/>
        </w:rPr>
        <w:t xml:space="preserve"> </w:t>
      </w:r>
    </w:p>
    <w:p w:rsidR="00FE7B95" w:rsidRPr="00FE7B95" w:rsidRDefault="00FE7B95" w:rsidP="00FE7B95">
      <w:pPr>
        <w:ind w:left="720"/>
        <w:rPr>
          <w:rFonts w:ascii="Arial" w:hAnsi="Arial" w:cs="Arial"/>
          <w:b/>
          <w:sz w:val="20"/>
          <w:szCs w:val="20"/>
        </w:rPr>
      </w:pPr>
      <w:r w:rsidRPr="00FE7B95">
        <w:rPr>
          <w:rFonts w:ascii="Arial" w:hAnsi="Arial" w:cs="Arial"/>
          <w:b/>
          <w:sz w:val="20"/>
          <w:szCs w:val="20"/>
        </w:rPr>
        <w:t xml:space="preserve">     </w:t>
      </w:r>
      <w:hyperlink r:id="rId8" w:history="1">
        <w:r w:rsidRPr="00FE7B95">
          <w:rPr>
            <w:rStyle w:val="Hyperlink"/>
            <w:rFonts w:ascii="Arial" w:hAnsi="Arial" w:cs="Arial"/>
            <w:b/>
            <w:sz w:val="20"/>
            <w:szCs w:val="20"/>
          </w:rPr>
          <w:t>fscafidi@nicb.org</w:t>
        </w:r>
      </w:hyperlink>
      <w:r w:rsidRPr="00FE7B95">
        <w:rPr>
          <w:rFonts w:ascii="Arial" w:hAnsi="Arial" w:cs="Arial"/>
          <w:b/>
          <w:sz w:val="20"/>
          <w:szCs w:val="20"/>
        </w:rPr>
        <w:tab/>
      </w:r>
    </w:p>
    <w:p w:rsidR="00FE7B95" w:rsidRPr="00FE7B95" w:rsidRDefault="00FE7B95" w:rsidP="00FE7B95">
      <w:pPr>
        <w:jc w:val="center"/>
        <w:rPr>
          <w:rFonts w:ascii="Arial" w:hAnsi="Arial" w:cs="Arial"/>
          <w:b/>
          <w:sz w:val="20"/>
          <w:szCs w:val="20"/>
          <w:u w:val="single"/>
        </w:rPr>
      </w:pPr>
    </w:p>
    <w:p w:rsidR="008E5E48" w:rsidRDefault="008E5E48" w:rsidP="000E464C">
      <w:pPr>
        <w:jc w:val="center"/>
        <w:rPr>
          <w:rFonts w:ascii="Arial" w:hAnsi="Arial" w:cs="Arial"/>
          <w:b/>
          <w:i/>
          <w:sz w:val="20"/>
          <w:szCs w:val="20"/>
        </w:rPr>
      </w:pPr>
    </w:p>
    <w:p w:rsidR="00FE7B95" w:rsidRPr="00FE7B95" w:rsidRDefault="000E464C" w:rsidP="000E464C">
      <w:pPr>
        <w:jc w:val="center"/>
        <w:rPr>
          <w:rFonts w:ascii="Arial" w:hAnsi="Arial" w:cs="Arial"/>
          <w:b/>
          <w:sz w:val="20"/>
          <w:szCs w:val="20"/>
        </w:rPr>
      </w:pPr>
      <w:r>
        <w:rPr>
          <w:rFonts w:ascii="Arial" w:hAnsi="Arial" w:cs="Arial"/>
          <w:b/>
          <w:i/>
          <w:sz w:val="20"/>
          <w:szCs w:val="20"/>
        </w:rPr>
        <w:t>H</w:t>
      </w:r>
      <w:r w:rsidRPr="000E464C">
        <w:rPr>
          <w:rFonts w:ascii="Arial" w:hAnsi="Arial" w:cs="Arial"/>
          <w:b/>
          <w:i/>
          <w:sz w:val="20"/>
          <w:szCs w:val="20"/>
        </w:rPr>
        <w:t>ot Spots</w:t>
      </w:r>
      <w:r>
        <w:rPr>
          <w:rFonts w:ascii="Arial" w:hAnsi="Arial" w:cs="Arial"/>
          <w:b/>
          <w:i/>
          <w:sz w:val="20"/>
          <w:szCs w:val="20"/>
        </w:rPr>
        <w:t xml:space="preserve">: </w:t>
      </w:r>
      <w:r w:rsidR="00567A96">
        <w:rPr>
          <w:rFonts w:ascii="Arial" w:hAnsi="Arial" w:cs="Arial"/>
          <w:b/>
          <w:i/>
          <w:sz w:val="20"/>
          <w:szCs w:val="20"/>
        </w:rPr>
        <w:t xml:space="preserve"> </w:t>
      </w:r>
      <w:r w:rsidRPr="000E464C">
        <w:rPr>
          <w:rFonts w:ascii="Arial" w:hAnsi="Arial" w:cs="Arial"/>
          <w:b/>
          <w:sz w:val="20"/>
          <w:szCs w:val="20"/>
        </w:rPr>
        <w:t>NICB’s Annual</w:t>
      </w:r>
      <w:r>
        <w:rPr>
          <w:rFonts w:ascii="Arial" w:hAnsi="Arial" w:cs="Arial"/>
          <w:b/>
          <w:sz w:val="20"/>
          <w:szCs w:val="20"/>
        </w:rPr>
        <w:t xml:space="preserve"> </w:t>
      </w:r>
      <w:r w:rsidR="00FC5A3B">
        <w:rPr>
          <w:rFonts w:ascii="Arial" w:hAnsi="Arial" w:cs="Arial"/>
          <w:b/>
          <w:sz w:val="20"/>
          <w:szCs w:val="20"/>
        </w:rPr>
        <w:t xml:space="preserve">Report on </w:t>
      </w:r>
      <w:r>
        <w:rPr>
          <w:rFonts w:ascii="Arial" w:hAnsi="Arial" w:cs="Arial"/>
          <w:b/>
          <w:sz w:val="20"/>
          <w:szCs w:val="20"/>
        </w:rPr>
        <w:t xml:space="preserve">Vehicle </w:t>
      </w:r>
      <w:r w:rsidR="00FE7B95" w:rsidRPr="00FE7B95">
        <w:rPr>
          <w:rFonts w:ascii="Arial" w:hAnsi="Arial" w:cs="Arial"/>
          <w:b/>
          <w:sz w:val="20"/>
          <w:szCs w:val="20"/>
        </w:rPr>
        <w:t>Theft</w:t>
      </w:r>
    </w:p>
    <w:p w:rsidR="00FE7B95" w:rsidRPr="00FE7B95" w:rsidRDefault="000E464C" w:rsidP="000E464C">
      <w:pPr>
        <w:jc w:val="center"/>
        <w:rPr>
          <w:rFonts w:ascii="Arial" w:hAnsi="Arial" w:cs="Arial"/>
          <w:b/>
          <w:i/>
          <w:sz w:val="20"/>
          <w:szCs w:val="20"/>
        </w:rPr>
      </w:pPr>
      <w:r>
        <w:rPr>
          <w:rFonts w:ascii="Arial" w:hAnsi="Arial" w:cs="Arial"/>
          <w:b/>
          <w:i/>
          <w:sz w:val="20"/>
          <w:szCs w:val="20"/>
        </w:rPr>
        <w:t>How Hot is Vehicle Theft in Your Area?</w:t>
      </w:r>
    </w:p>
    <w:p w:rsidR="00FE7B95" w:rsidRPr="00FE7B95" w:rsidRDefault="00FE7B95" w:rsidP="00FE7B95">
      <w:pPr>
        <w:rPr>
          <w:rFonts w:ascii="Arial" w:hAnsi="Arial" w:cs="Arial"/>
          <w:sz w:val="20"/>
          <w:szCs w:val="20"/>
        </w:rPr>
      </w:pPr>
    </w:p>
    <w:p w:rsidR="00E4277A" w:rsidRDefault="00FE7B95" w:rsidP="00FE7B95">
      <w:pPr>
        <w:rPr>
          <w:rFonts w:ascii="Arial" w:hAnsi="Arial" w:cs="Arial"/>
          <w:sz w:val="20"/>
          <w:szCs w:val="20"/>
        </w:rPr>
      </w:pPr>
      <w:r w:rsidRPr="00FE7B95">
        <w:rPr>
          <w:rFonts w:ascii="Arial" w:hAnsi="Arial" w:cs="Arial"/>
          <w:sz w:val="20"/>
          <w:szCs w:val="20"/>
        </w:rPr>
        <w:t xml:space="preserve">Des Plaines, IL—The </w:t>
      </w:r>
      <w:r w:rsidRPr="002D1325">
        <w:rPr>
          <w:rFonts w:ascii="Arial" w:hAnsi="Arial" w:cs="Arial"/>
          <w:sz w:val="20"/>
          <w:szCs w:val="20"/>
        </w:rPr>
        <w:t>National Insurance Crime Bureau</w:t>
      </w:r>
      <w:r w:rsidRPr="00FE7B95">
        <w:rPr>
          <w:rFonts w:ascii="Arial" w:hAnsi="Arial" w:cs="Arial"/>
          <w:sz w:val="20"/>
          <w:szCs w:val="20"/>
        </w:rPr>
        <w:t xml:space="preserve"> (NICB) reported today that 201</w:t>
      </w:r>
      <w:r w:rsidR="002D4DE1">
        <w:rPr>
          <w:rFonts w:ascii="Arial" w:hAnsi="Arial" w:cs="Arial"/>
          <w:sz w:val="20"/>
          <w:szCs w:val="20"/>
        </w:rPr>
        <w:t>1</w:t>
      </w:r>
      <w:r w:rsidRPr="00FE7B95">
        <w:rPr>
          <w:rFonts w:ascii="Arial" w:hAnsi="Arial" w:cs="Arial"/>
          <w:sz w:val="20"/>
          <w:szCs w:val="20"/>
        </w:rPr>
        <w:t xml:space="preserve"> </w:t>
      </w:r>
      <w:r w:rsidR="00B33143">
        <w:rPr>
          <w:rFonts w:ascii="Arial" w:hAnsi="Arial" w:cs="Arial"/>
          <w:sz w:val="20"/>
          <w:szCs w:val="20"/>
        </w:rPr>
        <w:t>is on track</w:t>
      </w:r>
      <w:r w:rsidR="002D4DE1">
        <w:rPr>
          <w:rFonts w:ascii="Arial" w:hAnsi="Arial" w:cs="Arial"/>
          <w:sz w:val="20"/>
          <w:szCs w:val="20"/>
        </w:rPr>
        <w:t xml:space="preserve"> (final numbers </w:t>
      </w:r>
      <w:r w:rsidR="00A034C0">
        <w:rPr>
          <w:rFonts w:ascii="Arial" w:hAnsi="Arial" w:cs="Arial"/>
          <w:sz w:val="20"/>
          <w:szCs w:val="20"/>
        </w:rPr>
        <w:t xml:space="preserve">will be </w:t>
      </w:r>
      <w:r w:rsidR="002D4DE1">
        <w:rPr>
          <w:rFonts w:ascii="Arial" w:hAnsi="Arial" w:cs="Arial"/>
          <w:sz w:val="20"/>
          <w:szCs w:val="20"/>
        </w:rPr>
        <w:t>published in the fall)</w:t>
      </w:r>
      <w:r w:rsidR="00B33143">
        <w:rPr>
          <w:rFonts w:ascii="Arial" w:hAnsi="Arial" w:cs="Arial"/>
          <w:sz w:val="20"/>
          <w:szCs w:val="20"/>
        </w:rPr>
        <w:t xml:space="preserve"> as yet another consecutive year of declining vehicle thefts.</w:t>
      </w:r>
      <w:r w:rsidR="008E5E48">
        <w:rPr>
          <w:rFonts w:ascii="Arial" w:hAnsi="Arial" w:cs="Arial"/>
          <w:sz w:val="20"/>
          <w:szCs w:val="20"/>
        </w:rPr>
        <w:t xml:space="preserve"> </w:t>
      </w:r>
      <w:r w:rsidR="00E4277A">
        <w:rPr>
          <w:rFonts w:ascii="Arial" w:hAnsi="Arial" w:cs="Arial"/>
          <w:sz w:val="20"/>
          <w:szCs w:val="20"/>
        </w:rPr>
        <w:t xml:space="preserve">Four of the top 10 </w:t>
      </w:r>
      <w:r w:rsidR="004A4F91" w:rsidRPr="00FE7B95">
        <w:rPr>
          <w:rFonts w:ascii="Arial" w:hAnsi="Arial" w:cs="Arial"/>
          <w:sz w:val="20"/>
          <w:szCs w:val="20"/>
        </w:rPr>
        <w:t xml:space="preserve">Metropolitan Statistical Areas </w:t>
      </w:r>
      <w:r w:rsidR="004A4F91">
        <w:rPr>
          <w:rFonts w:ascii="Arial" w:hAnsi="Arial" w:cs="Arial"/>
          <w:sz w:val="20"/>
          <w:szCs w:val="20"/>
        </w:rPr>
        <w:t>(</w:t>
      </w:r>
      <w:r w:rsidR="00E4277A">
        <w:rPr>
          <w:rFonts w:ascii="Arial" w:hAnsi="Arial" w:cs="Arial"/>
          <w:sz w:val="20"/>
          <w:szCs w:val="20"/>
        </w:rPr>
        <w:t>MSAs</w:t>
      </w:r>
      <w:r w:rsidR="004A4F91">
        <w:rPr>
          <w:rFonts w:ascii="Arial" w:hAnsi="Arial" w:cs="Arial"/>
          <w:sz w:val="20"/>
          <w:szCs w:val="20"/>
        </w:rPr>
        <w:t>)</w:t>
      </w:r>
      <w:r w:rsidR="00E4277A">
        <w:rPr>
          <w:rFonts w:ascii="Arial" w:hAnsi="Arial" w:cs="Arial"/>
          <w:sz w:val="20"/>
          <w:szCs w:val="20"/>
        </w:rPr>
        <w:t xml:space="preserve"> reported more thefts in 2011 (+925 collectively) while the remaining six posted fewer (-2,017 collectively). </w:t>
      </w:r>
    </w:p>
    <w:p w:rsidR="00E4277A" w:rsidRDefault="00E4277A" w:rsidP="00FE7B95">
      <w:pPr>
        <w:rPr>
          <w:rFonts w:ascii="Arial" w:hAnsi="Arial" w:cs="Arial"/>
          <w:sz w:val="20"/>
          <w:szCs w:val="20"/>
        </w:rPr>
      </w:pPr>
    </w:p>
    <w:p w:rsidR="00FE7B95" w:rsidRPr="00FE7B95" w:rsidRDefault="00E4277A" w:rsidP="00FE7B95">
      <w:pPr>
        <w:rPr>
          <w:rFonts w:ascii="Arial" w:hAnsi="Arial" w:cs="Arial"/>
          <w:sz w:val="20"/>
          <w:szCs w:val="20"/>
        </w:rPr>
      </w:pPr>
      <w:r>
        <w:rPr>
          <w:rFonts w:ascii="Arial" w:hAnsi="Arial" w:cs="Arial"/>
          <w:sz w:val="20"/>
          <w:szCs w:val="20"/>
        </w:rPr>
        <w:t xml:space="preserve">It is important to note the </w:t>
      </w:r>
      <w:r w:rsidR="00FB7B9A" w:rsidRPr="00FB7B9A">
        <w:rPr>
          <w:rFonts w:ascii="Arial" w:hAnsi="Arial" w:cs="Arial"/>
          <w:i/>
          <w:sz w:val="20"/>
          <w:szCs w:val="20"/>
        </w:rPr>
        <w:t>Hot Spots</w:t>
      </w:r>
      <w:r w:rsidR="001D7739">
        <w:rPr>
          <w:rFonts w:ascii="Arial" w:hAnsi="Arial" w:cs="Arial"/>
          <w:sz w:val="20"/>
          <w:szCs w:val="20"/>
        </w:rPr>
        <w:t xml:space="preserve"> report</w:t>
      </w:r>
      <w:r>
        <w:rPr>
          <w:rFonts w:ascii="Arial" w:hAnsi="Arial" w:cs="Arial"/>
          <w:sz w:val="20"/>
          <w:szCs w:val="20"/>
        </w:rPr>
        <w:t xml:space="preserve"> is a reflection of vehicle thefts on a per capita basis. An area with a much smaller population and a moderate number of </w:t>
      </w:r>
      <w:r w:rsidR="001D7739">
        <w:rPr>
          <w:rFonts w:ascii="Arial" w:hAnsi="Arial" w:cs="Arial"/>
          <w:sz w:val="20"/>
          <w:szCs w:val="20"/>
        </w:rPr>
        <w:t xml:space="preserve">thefts </w:t>
      </w:r>
      <w:r>
        <w:rPr>
          <w:rFonts w:ascii="Arial" w:hAnsi="Arial" w:cs="Arial"/>
          <w:sz w:val="20"/>
          <w:szCs w:val="20"/>
        </w:rPr>
        <w:t>can—and often does—have a higher theft rate than a</w:t>
      </w:r>
      <w:r w:rsidR="001D7739">
        <w:rPr>
          <w:rFonts w:ascii="Arial" w:hAnsi="Arial" w:cs="Arial"/>
          <w:sz w:val="20"/>
          <w:szCs w:val="20"/>
        </w:rPr>
        <w:t xml:space="preserve">n area </w:t>
      </w:r>
      <w:r>
        <w:rPr>
          <w:rFonts w:ascii="Arial" w:hAnsi="Arial" w:cs="Arial"/>
          <w:sz w:val="20"/>
          <w:szCs w:val="20"/>
        </w:rPr>
        <w:t xml:space="preserve">with a </w:t>
      </w:r>
      <w:r w:rsidR="001D7739">
        <w:rPr>
          <w:rFonts w:ascii="Arial" w:hAnsi="Arial" w:cs="Arial"/>
          <w:sz w:val="20"/>
          <w:szCs w:val="20"/>
        </w:rPr>
        <w:t xml:space="preserve">much </w:t>
      </w:r>
      <w:r>
        <w:rPr>
          <w:rFonts w:ascii="Arial" w:hAnsi="Arial" w:cs="Arial"/>
          <w:sz w:val="20"/>
          <w:szCs w:val="20"/>
        </w:rPr>
        <w:t>more significant vehicle theft problem</w:t>
      </w:r>
      <w:r w:rsidR="001D7739">
        <w:rPr>
          <w:rFonts w:ascii="Arial" w:hAnsi="Arial" w:cs="Arial"/>
          <w:sz w:val="20"/>
          <w:szCs w:val="20"/>
        </w:rPr>
        <w:t xml:space="preserve"> </w:t>
      </w:r>
      <w:r w:rsidR="001D7739" w:rsidRPr="001D7739">
        <w:rPr>
          <w:rFonts w:ascii="Arial" w:hAnsi="Arial" w:cs="Arial"/>
          <w:i/>
          <w:sz w:val="20"/>
          <w:szCs w:val="20"/>
        </w:rPr>
        <w:t>and</w:t>
      </w:r>
      <w:r w:rsidR="001D7739">
        <w:rPr>
          <w:rFonts w:ascii="Arial" w:hAnsi="Arial" w:cs="Arial"/>
          <w:sz w:val="20"/>
          <w:szCs w:val="20"/>
        </w:rPr>
        <w:t xml:space="preserve"> a larger population to absorb it. </w:t>
      </w:r>
      <w:r>
        <w:rPr>
          <w:rFonts w:ascii="Arial" w:hAnsi="Arial" w:cs="Arial"/>
          <w:sz w:val="20"/>
          <w:szCs w:val="20"/>
        </w:rPr>
        <w:t xml:space="preserve">  </w:t>
      </w:r>
      <w:r w:rsidR="00FE7B95" w:rsidRPr="00FE7B95">
        <w:rPr>
          <w:rFonts w:ascii="Arial" w:hAnsi="Arial" w:cs="Arial"/>
          <w:sz w:val="20"/>
          <w:szCs w:val="20"/>
        </w:rPr>
        <w:t xml:space="preserve">      </w:t>
      </w:r>
    </w:p>
    <w:p w:rsidR="00FE7B95" w:rsidRPr="00FE7B95" w:rsidRDefault="00FE7B95" w:rsidP="00FE7B95">
      <w:pPr>
        <w:rPr>
          <w:rFonts w:ascii="Arial" w:hAnsi="Arial" w:cs="Arial"/>
          <w:sz w:val="20"/>
          <w:szCs w:val="20"/>
        </w:rPr>
      </w:pPr>
    </w:p>
    <w:p w:rsidR="008E5E48" w:rsidRPr="00FE7B95" w:rsidRDefault="00FE7B95" w:rsidP="00FE7B95">
      <w:pPr>
        <w:rPr>
          <w:rFonts w:ascii="Arial" w:hAnsi="Arial" w:cs="Arial"/>
          <w:sz w:val="20"/>
          <w:szCs w:val="20"/>
        </w:rPr>
      </w:pPr>
      <w:r w:rsidRPr="00FE7B95">
        <w:rPr>
          <w:rFonts w:ascii="Arial" w:hAnsi="Arial" w:cs="Arial"/>
          <w:sz w:val="20"/>
          <w:szCs w:val="20"/>
        </w:rPr>
        <w:t>For 201</w:t>
      </w:r>
      <w:r>
        <w:rPr>
          <w:rFonts w:ascii="Arial" w:hAnsi="Arial" w:cs="Arial"/>
          <w:sz w:val="20"/>
          <w:szCs w:val="20"/>
        </w:rPr>
        <w:t>1</w:t>
      </w:r>
      <w:r w:rsidRPr="00FE7B95">
        <w:rPr>
          <w:rFonts w:ascii="Arial" w:hAnsi="Arial" w:cs="Arial"/>
          <w:sz w:val="20"/>
          <w:szCs w:val="20"/>
        </w:rPr>
        <w:t>, the 10 MSA</w:t>
      </w:r>
      <w:r w:rsidR="00853FB9">
        <w:rPr>
          <w:rFonts w:ascii="Arial" w:hAnsi="Arial" w:cs="Arial"/>
          <w:sz w:val="20"/>
          <w:szCs w:val="20"/>
        </w:rPr>
        <w:t>s</w:t>
      </w:r>
      <w:r w:rsidRPr="00FE7B95">
        <w:rPr>
          <w:rFonts w:ascii="Arial" w:hAnsi="Arial" w:cs="Arial"/>
          <w:sz w:val="20"/>
          <w:szCs w:val="20"/>
        </w:rPr>
        <w:t xml:space="preserve"> with the highest vehicle theft rates were:</w:t>
      </w:r>
      <w:r w:rsidR="008E5E48">
        <w:rPr>
          <w:rFonts w:ascii="Arial" w:hAnsi="Arial" w:cs="Arial"/>
          <w:sz w:val="20"/>
          <w:szCs w:val="20"/>
        </w:rPr>
        <w:br/>
      </w:r>
      <w:r w:rsidR="008E5E48">
        <w:rPr>
          <w:rFonts w:ascii="Arial" w:hAnsi="Arial" w:cs="Arial"/>
          <w:sz w:val="20"/>
          <w:szCs w:val="20"/>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
        <w:gridCol w:w="4014"/>
        <w:gridCol w:w="1602"/>
      </w:tblGrid>
      <w:tr w:rsidR="008E5E48" w:rsidTr="008E5E48">
        <w:trPr>
          <w:jc w:val="center"/>
        </w:trPr>
        <w:tc>
          <w:tcPr>
            <w:tcW w:w="4662" w:type="dxa"/>
            <w:gridSpan w:val="2"/>
          </w:tcPr>
          <w:p w:rsidR="008E5E48" w:rsidRDefault="008E5E48" w:rsidP="008E5E48">
            <w:pPr>
              <w:spacing w:before="20" w:after="20"/>
              <w:rPr>
                <w:rFonts w:ascii="Arial" w:hAnsi="Arial" w:cs="Arial"/>
                <w:sz w:val="20"/>
                <w:szCs w:val="20"/>
              </w:rPr>
            </w:pPr>
            <w:r w:rsidRPr="00FE7B95">
              <w:rPr>
                <w:rFonts w:ascii="Arial" w:hAnsi="Arial" w:cs="Arial"/>
                <w:b/>
                <w:sz w:val="20"/>
                <w:szCs w:val="20"/>
              </w:rPr>
              <w:t>201</w:t>
            </w:r>
            <w:r>
              <w:rPr>
                <w:rFonts w:ascii="Arial" w:hAnsi="Arial" w:cs="Arial"/>
                <w:b/>
                <w:sz w:val="20"/>
                <w:szCs w:val="20"/>
              </w:rPr>
              <w:t>1</w:t>
            </w:r>
            <w:r w:rsidRPr="00FE7B95">
              <w:rPr>
                <w:rFonts w:ascii="Arial" w:hAnsi="Arial" w:cs="Arial"/>
                <w:b/>
                <w:sz w:val="20"/>
                <w:szCs w:val="20"/>
              </w:rPr>
              <w:t xml:space="preserve"> Ranking</w:t>
            </w:r>
          </w:p>
        </w:tc>
        <w:tc>
          <w:tcPr>
            <w:tcW w:w="1602" w:type="dxa"/>
          </w:tcPr>
          <w:p w:rsidR="008E5E48" w:rsidRDefault="008E5E48" w:rsidP="008E5E48">
            <w:pPr>
              <w:spacing w:before="20" w:after="20"/>
              <w:rPr>
                <w:rFonts w:ascii="Arial" w:hAnsi="Arial" w:cs="Arial"/>
                <w:sz w:val="20"/>
                <w:szCs w:val="20"/>
              </w:rPr>
            </w:pPr>
            <w:r w:rsidRPr="00FE7B95">
              <w:rPr>
                <w:rFonts w:ascii="Arial" w:hAnsi="Arial" w:cs="Arial"/>
                <w:b/>
                <w:sz w:val="20"/>
                <w:szCs w:val="20"/>
              </w:rPr>
              <w:t>20</w:t>
            </w:r>
            <w:r>
              <w:rPr>
                <w:rFonts w:ascii="Arial" w:hAnsi="Arial" w:cs="Arial"/>
                <w:b/>
                <w:sz w:val="20"/>
                <w:szCs w:val="20"/>
              </w:rPr>
              <w:t>10</w:t>
            </w:r>
            <w:r w:rsidRPr="00FE7B95">
              <w:rPr>
                <w:rFonts w:ascii="Arial" w:hAnsi="Arial" w:cs="Arial"/>
                <w:b/>
                <w:sz w:val="20"/>
                <w:szCs w:val="20"/>
              </w:rPr>
              <w:t xml:space="preserve"> Ranking</w:t>
            </w:r>
          </w:p>
        </w:tc>
      </w:tr>
      <w:tr w:rsidR="008E5E48" w:rsidTr="008E5E48">
        <w:trPr>
          <w:jc w:val="center"/>
        </w:trPr>
        <w:tc>
          <w:tcPr>
            <w:tcW w:w="648" w:type="dxa"/>
          </w:tcPr>
          <w:p w:rsidR="008E5E48" w:rsidRDefault="008E5E48" w:rsidP="008E5E48">
            <w:pPr>
              <w:spacing w:before="20" w:after="20"/>
              <w:rPr>
                <w:rFonts w:ascii="Arial" w:hAnsi="Arial" w:cs="Arial"/>
                <w:sz w:val="20"/>
                <w:szCs w:val="20"/>
              </w:rPr>
            </w:pPr>
            <w:r>
              <w:rPr>
                <w:rFonts w:ascii="Arial" w:hAnsi="Arial" w:cs="Arial"/>
                <w:sz w:val="20"/>
                <w:szCs w:val="20"/>
              </w:rPr>
              <w:t>1.</w:t>
            </w:r>
          </w:p>
        </w:tc>
        <w:tc>
          <w:tcPr>
            <w:tcW w:w="4014" w:type="dxa"/>
          </w:tcPr>
          <w:p w:rsidR="008E5E48" w:rsidRDefault="008E5E48" w:rsidP="008E5E48">
            <w:pPr>
              <w:spacing w:before="20" w:after="20"/>
              <w:rPr>
                <w:rFonts w:ascii="Arial" w:hAnsi="Arial" w:cs="Arial"/>
                <w:sz w:val="20"/>
                <w:szCs w:val="20"/>
              </w:rPr>
            </w:pPr>
            <w:r w:rsidRPr="00FE7B95">
              <w:rPr>
                <w:rFonts w:ascii="Arial" w:hAnsi="Arial" w:cs="Arial"/>
                <w:sz w:val="20"/>
                <w:szCs w:val="20"/>
                <w:lang w:val="es-ES"/>
              </w:rPr>
              <w:t xml:space="preserve">Fresno, </w:t>
            </w:r>
            <w:proofErr w:type="spellStart"/>
            <w:r w:rsidRPr="00FE7B95">
              <w:rPr>
                <w:rFonts w:ascii="Arial" w:hAnsi="Arial" w:cs="Arial"/>
                <w:sz w:val="20"/>
                <w:szCs w:val="20"/>
                <w:lang w:val="es-ES"/>
              </w:rPr>
              <w:t>Calif</w:t>
            </w:r>
            <w:proofErr w:type="spellEnd"/>
            <w:r w:rsidRPr="00FE7B95">
              <w:rPr>
                <w:rFonts w:ascii="Arial" w:hAnsi="Arial" w:cs="Arial"/>
                <w:sz w:val="20"/>
                <w:szCs w:val="20"/>
                <w:lang w:val="es-ES"/>
              </w:rPr>
              <w:t>.</w:t>
            </w:r>
          </w:p>
        </w:tc>
        <w:tc>
          <w:tcPr>
            <w:tcW w:w="1602" w:type="dxa"/>
          </w:tcPr>
          <w:p w:rsidR="008E5E48" w:rsidRDefault="008E5E48" w:rsidP="008E5E48">
            <w:pPr>
              <w:spacing w:before="20" w:after="20"/>
              <w:rPr>
                <w:rFonts w:ascii="Arial" w:hAnsi="Arial" w:cs="Arial"/>
                <w:sz w:val="20"/>
                <w:szCs w:val="20"/>
              </w:rPr>
            </w:pPr>
            <w:r>
              <w:rPr>
                <w:rFonts w:ascii="Arial" w:hAnsi="Arial" w:cs="Arial"/>
                <w:sz w:val="20"/>
                <w:szCs w:val="20"/>
                <w:lang w:val="es-ES"/>
              </w:rPr>
              <w:t>1</w:t>
            </w:r>
          </w:p>
        </w:tc>
      </w:tr>
      <w:tr w:rsidR="008E5E48" w:rsidTr="008E5E48">
        <w:trPr>
          <w:jc w:val="center"/>
        </w:trPr>
        <w:tc>
          <w:tcPr>
            <w:tcW w:w="648" w:type="dxa"/>
          </w:tcPr>
          <w:p w:rsidR="008E5E48" w:rsidRDefault="008E5E48" w:rsidP="008E5E48">
            <w:pPr>
              <w:spacing w:before="20" w:after="20"/>
              <w:rPr>
                <w:rFonts w:ascii="Arial" w:hAnsi="Arial" w:cs="Arial"/>
                <w:sz w:val="20"/>
                <w:szCs w:val="20"/>
              </w:rPr>
            </w:pPr>
            <w:r>
              <w:rPr>
                <w:rFonts w:ascii="Arial" w:hAnsi="Arial" w:cs="Arial"/>
                <w:sz w:val="20"/>
                <w:szCs w:val="20"/>
              </w:rPr>
              <w:t>2.</w:t>
            </w:r>
          </w:p>
        </w:tc>
        <w:tc>
          <w:tcPr>
            <w:tcW w:w="4014" w:type="dxa"/>
          </w:tcPr>
          <w:p w:rsidR="008E5E48" w:rsidRDefault="008E5E48" w:rsidP="008E5E48">
            <w:pPr>
              <w:spacing w:before="20" w:after="20"/>
              <w:rPr>
                <w:rFonts w:ascii="Arial" w:hAnsi="Arial" w:cs="Arial"/>
                <w:sz w:val="20"/>
                <w:szCs w:val="20"/>
              </w:rPr>
            </w:pPr>
            <w:r w:rsidRPr="00FE7B95">
              <w:rPr>
                <w:rFonts w:ascii="Arial" w:hAnsi="Arial" w:cs="Arial"/>
                <w:sz w:val="20"/>
                <w:szCs w:val="20"/>
                <w:lang w:val="es-ES"/>
              </w:rPr>
              <w:t xml:space="preserve">Modesto, </w:t>
            </w:r>
            <w:proofErr w:type="spellStart"/>
            <w:r w:rsidRPr="00FE7B95">
              <w:rPr>
                <w:rFonts w:ascii="Arial" w:hAnsi="Arial" w:cs="Arial"/>
                <w:sz w:val="20"/>
                <w:szCs w:val="20"/>
                <w:lang w:val="es-ES"/>
              </w:rPr>
              <w:t>Calif</w:t>
            </w:r>
            <w:proofErr w:type="spellEnd"/>
            <w:r w:rsidRPr="00FE7B95">
              <w:rPr>
                <w:rFonts w:ascii="Arial" w:hAnsi="Arial" w:cs="Arial"/>
                <w:sz w:val="20"/>
                <w:szCs w:val="20"/>
                <w:lang w:val="es-ES"/>
              </w:rPr>
              <w:t>.</w:t>
            </w:r>
          </w:p>
        </w:tc>
        <w:tc>
          <w:tcPr>
            <w:tcW w:w="1602" w:type="dxa"/>
          </w:tcPr>
          <w:p w:rsidR="008E5E48" w:rsidRDefault="008E5E48" w:rsidP="008E5E48">
            <w:pPr>
              <w:spacing w:before="20" w:after="20"/>
              <w:rPr>
                <w:rFonts w:ascii="Arial" w:hAnsi="Arial" w:cs="Arial"/>
                <w:sz w:val="20"/>
                <w:szCs w:val="20"/>
              </w:rPr>
            </w:pPr>
            <w:r w:rsidRPr="00FE7B95">
              <w:rPr>
                <w:rFonts w:ascii="Arial" w:hAnsi="Arial" w:cs="Arial"/>
                <w:sz w:val="20"/>
                <w:szCs w:val="20"/>
                <w:lang w:val="es-ES"/>
              </w:rPr>
              <w:t>2</w:t>
            </w:r>
          </w:p>
        </w:tc>
      </w:tr>
      <w:tr w:rsidR="008E5E48" w:rsidTr="008E5E48">
        <w:trPr>
          <w:jc w:val="center"/>
        </w:trPr>
        <w:tc>
          <w:tcPr>
            <w:tcW w:w="648" w:type="dxa"/>
          </w:tcPr>
          <w:p w:rsidR="008E5E48" w:rsidRDefault="008E5E48" w:rsidP="008E5E48">
            <w:pPr>
              <w:spacing w:before="20" w:after="20"/>
              <w:rPr>
                <w:rFonts w:ascii="Arial" w:hAnsi="Arial" w:cs="Arial"/>
                <w:sz w:val="20"/>
                <w:szCs w:val="20"/>
              </w:rPr>
            </w:pPr>
            <w:r>
              <w:rPr>
                <w:rFonts w:ascii="Arial" w:hAnsi="Arial" w:cs="Arial"/>
                <w:sz w:val="20"/>
                <w:szCs w:val="20"/>
              </w:rPr>
              <w:t>3.</w:t>
            </w:r>
          </w:p>
        </w:tc>
        <w:tc>
          <w:tcPr>
            <w:tcW w:w="4014" w:type="dxa"/>
          </w:tcPr>
          <w:p w:rsidR="008E5E48" w:rsidRDefault="008E5E48" w:rsidP="008E5E48">
            <w:pPr>
              <w:spacing w:before="20" w:after="20"/>
              <w:rPr>
                <w:rFonts w:ascii="Arial" w:hAnsi="Arial" w:cs="Arial"/>
                <w:sz w:val="20"/>
                <w:szCs w:val="20"/>
              </w:rPr>
            </w:pPr>
            <w:r w:rsidRPr="00FE7B95">
              <w:rPr>
                <w:rFonts w:ascii="Arial" w:hAnsi="Arial" w:cs="Arial"/>
                <w:sz w:val="20"/>
                <w:szCs w:val="20"/>
              </w:rPr>
              <w:t>Bakersfield-Delano, Calif.</w:t>
            </w:r>
          </w:p>
        </w:tc>
        <w:tc>
          <w:tcPr>
            <w:tcW w:w="1602" w:type="dxa"/>
          </w:tcPr>
          <w:p w:rsidR="008E5E48" w:rsidRDefault="008E5E48" w:rsidP="008E5E48">
            <w:pPr>
              <w:spacing w:before="20" w:after="20"/>
              <w:rPr>
                <w:rFonts w:ascii="Arial" w:hAnsi="Arial" w:cs="Arial"/>
                <w:sz w:val="20"/>
                <w:szCs w:val="20"/>
              </w:rPr>
            </w:pPr>
            <w:r w:rsidRPr="00FE7B95">
              <w:rPr>
                <w:rFonts w:ascii="Arial" w:hAnsi="Arial" w:cs="Arial"/>
                <w:sz w:val="20"/>
                <w:szCs w:val="20"/>
              </w:rPr>
              <w:t>3</w:t>
            </w:r>
          </w:p>
        </w:tc>
      </w:tr>
      <w:tr w:rsidR="008E5E48" w:rsidTr="008E5E48">
        <w:trPr>
          <w:jc w:val="center"/>
        </w:trPr>
        <w:tc>
          <w:tcPr>
            <w:tcW w:w="648" w:type="dxa"/>
          </w:tcPr>
          <w:p w:rsidR="008E5E48" w:rsidRDefault="008E5E48" w:rsidP="008E5E48">
            <w:pPr>
              <w:spacing w:before="20" w:after="20"/>
              <w:rPr>
                <w:rFonts w:ascii="Arial" w:hAnsi="Arial" w:cs="Arial"/>
                <w:sz w:val="20"/>
                <w:szCs w:val="20"/>
              </w:rPr>
            </w:pPr>
            <w:r>
              <w:rPr>
                <w:rFonts w:ascii="Arial" w:hAnsi="Arial" w:cs="Arial"/>
                <w:sz w:val="20"/>
                <w:szCs w:val="20"/>
              </w:rPr>
              <w:t>4.</w:t>
            </w:r>
          </w:p>
        </w:tc>
        <w:tc>
          <w:tcPr>
            <w:tcW w:w="4014" w:type="dxa"/>
          </w:tcPr>
          <w:p w:rsidR="008E5E48" w:rsidRDefault="008E5E48" w:rsidP="008E5E48">
            <w:pPr>
              <w:spacing w:before="20" w:after="20"/>
              <w:rPr>
                <w:rFonts w:ascii="Arial" w:hAnsi="Arial" w:cs="Arial"/>
                <w:sz w:val="20"/>
                <w:szCs w:val="20"/>
              </w:rPr>
            </w:pPr>
            <w:r w:rsidRPr="00FE7B95">
              <w:rPr>
                <w:rFonts w:ascii="Arial" w:hAnsi="Arial" w:cs="Arial"/>
                <w:sz w:val="20"/>
                <w:szCs w:val="20"/>
              </w:rPr>
              <w:t>Spokane, Wash.</w:t>
            </w:r>
          </w:p>
        </w:tc>
        <w:tc>
          <w:tcPr>
            <w:tcW w:w="1602" w:type="dxa"/>
          </w:tcPr>
          <w:p w:rsidR="008E5E48" w:rsidRDefault="008E5E48" w:rsidP="008E5E48">
            <w:pPr>
              <w:spacing w:before="20" w:after="20"/>
              <w:rPr>
                <w:rFonts w:ascii="Arial" w:hAnsi="Arial" w:cs="Arial"/>
                <w:sz w:val="20"/>
                <w:szCs w:val="20"/>
              </w:rPr>
            </w:pPr>
            <w:r>
              <w:rPr>
                <w:rFonts w:ascii="Arial" w:hAnsi="Arial" w:cs="Arial"/>
                <w:sz w:val="20"/>
                <w:szCs w:val="20"/>
              </w:rPr>
              <w:t>4</w:t>
            </w:r>
          </w:p>
        </w:tc>
      </w:tr>
      <w:tr w:rsidR="008E5E48" w:rsidTr="008E5E48">
        <w:trPr>
          <w:jc w:val="center"/>
        </w:trPr>
        <w:tc>
          <w:tcPr>
            <w:tcW w:w="648" w:type="dxa"/>
          </w:tcPr>
          <w:p w:rsidR="008E5E48" w:rsidRDefault="008E5E48" w:rsidP="008E5E48">
            <w:pPr>
              <w:spacing w:before="20" w:after="20"/>
              <w:rPr>
                <w:rFonts w:ascii="Arial" w:hAnsi="Arial" w:cs="Arial"/>
                <w:sz w:val="20"/>
                <w:szCs w:val="20"/>
              </w:rPr>
            </w:pPr>
            <w:r>
              <w:rPr>
                <w:rFonts w:ascii="Arial" w:hAnsi="Arial" w:cs="Arial"/>
                <w:sz w:val="20"/>
                <w:szCs w:val="20"/>
              </w:rPr>
              <w:t>5.</w:t>
            </w:r>
          </w:p>
        </w:tc>
        <w:tc>
          <w:tcPr>
            <w:tcW w:w="4014" w:type="dxa"/>
          </w:tcPr>
          <w:p w:rsidR="008E5E48" w:rsidRDefault="008E5E48" w:rsidP="008E5E48">
            <w:pPr>
              <w:spacing w:before="20" w:after="20"/>
              <w:rPr>
                <w:rFonts w:ascii="Arial" w:hAnsi="Arial" w:cs="Arial"/>
                <w:sz w:val="20"/>
                <w:szCs w:val="20"/>
              </w:rPr>
            </w:pPr>
            <w:r w:rsidRPr="00FE7B95">
              <w:rPr>
                <w:rFonts w:ascii="Arial" w:hAnsi="Arial" w:cs="Arial"/>
                <w:sz w:val="20"/>
                <w:szCs w:val="20"/>
              </w:rPr>
              <w:t>Yakima, Wash.</w:t>
            </w:r>
          </w:p>
        </w:tc>
        <w:tc>
          <w:tcPr>
            <w:tcW w:w="1602" w:type="dxa"/>
          </w:tcPr>
          <w:p w:rsidR="008E5E48" w:rsidRDefault="008E5E48" w:rsidP="008E5E48">
            <w:pPr>
              <w:spacing w:before="20" w:after="20"/>
              <w:rPr>
                <w:rFonts w:ascii="Arial" w:hAnsi="Arial" w:cs="Arial"/>
                <w:sz w:val="20"/>
                <w:szCs w:val="20"/>
              </w:rPr>
            </w:pPr>
            <w:r w:rsidRPr="00FE7B95">
              <w:rPr>
                <w:rFonts w:ascii="Arial" w:hAnsi="Arial" w:cs="Arial"/>
                <w:sz w:val="20"/>
                <w:szCs w:val="20"/>
              </w:rPr>
              <w:t>1</w:t>
            </w:r>
            <w:r>
              <w:rPr>
                <w:rFonts w:ascii="Arial" w:hAnsi="Arial" w:cs="Arial"/>
                <w:sz w:val="20"/>
                <w:szCs w:val="20"/>
              </w:rPr>
              <w:t>0</w:t>
            </w:r>
          </w:p>
        </w:tc>
      </w:tr>
      <w:tr w:rsidR="008E5E48" w:rsidTr="008E5E48">
        <w:trPr>
          <w:jc w:val="center"/>
        </w:trPr>
        <w:tc>
          <w:tcPr>
            <w:tcW w:w="648" w:type="dxa"/>
          </w:tcPr>
          <w:p w:rsidR="008E5E48" w:rsidRDefault="008E5E48" w:rsidP="008E5E48">
            <w:pPr>
              <w:spacing w:before="20" w:after="20"/>
              <w:rPr>
                <w:rFonts w:ascii="Arial" w:hAnsi="Arial" w:cs="Arial"/>
                <w:sz w:val="20"/>
                <w:szCs w:val="20"/>
              </w:rPr>
            </w:pPr>
            <w:r>
              <w:rPr>
                <w:rFonts w:ascii="Arial" w:hAnsi="Arial" w:cs="Arial"/>
                <w:sz w:val="20"/>
                <w:szCs w:val="20"/>
              </w:rPr>
              <w:t>6.</w:t>
            </w:r>
          </w:p>
        </w:tc>
        <w:tc>
          <w:tcPr>
            <w:tcW w:w="4014" w:type="dxa"/>
          </w:tcPr>
          <w:p w:rsidR="008E5E48" w:rsidRDefault="008E5E48" w:rsidP="008E5E48">
            <w:pPr>
              <w:spacing w:before="20" w:after="20"/>
              <w:rPr>
                <w:rFonts w:ascii="Arial" w:hAnsi="Arial" w:cs="Arial"/>
                <w:sz w:val="20"/>
                <w:szCs w:val="20"/>
              </w:rPr>
            </w:pPr>
            <w:r w:rsidRPr="00FE7B95">
              <w:rPr>
                <w:rFonts w:ascii="Arial" w:hAnsi="Arial" w:cs="Arial"/>
                <w:sz w:val="20"/>
                <w:szCs w:val="20"/>
                <w:lang w:val="es-ES"/>
              </w:rPr>
              <w:t xml:space="preserve">San Francisco/Oakland/Fremont, </w:t>
            </w:r>
            <w:proofErr w:type="spellStart"/>
            <w:r w:rsidRPr="00FE7B95">
              <w:rPr>
                <w:rFonts w:ascii="Arial" w:hAnsi="Arial" w:cs="Arial"/>
                <w:sz w:val="20"/>
                <w:szCs w:val="20"/>
                <w:lang w:val="es-ES"/>
              </w:rPr>
              <w:t>Calif</w:t>
            </w:r>
            <w:proofErr w:type="spellEnd"/>
            <w:r w:rsidRPr="00FE7B95">
              <w:rPr>
                <w:rFonts w:ascii="Arial" w:hAnsi="Arial" w:cs="Arial"/>
                <w:sz w:val="20"/>
                <w:szCs w:val="20"/>
                <w:lang w:val="es-ES"/>
              </w:rPr>
              <w:t>.</w:t>
            </w:r>
          </w:p>
        </w:tc>
        <w:tc>
          <w:tcPr>
            <w:tcW w:w="1602" w:type="dxa"/>
          </w:tcPr>
          <w:p w:rsidR="008E5E48" w:rsidRDefault="008E5E48" w:rsidP="008E5E48">
            <w:pPr>
              <w:spacing w:before="20" w:after="20"/>
              <w:rPr>
                <w:rFonts w:ascii="Arial" w:hAnsi="Arial" w:cs="Arial"/>
                <w:sz w:val="20"/>
                <w:szCs w:val="20"/>
              </w:rPr>
            </w:pPr>
            <w:r>
              <w:rPr>
                <w:rFonts w:ascii="Arial" w:hAnsi="Arial" w:cs="Arial"/>
                <w:sz w:val="20"/>
                <w:szCs w:val="20"/>
              </w:rPr>
              <w:t>9</w:t>
            </w:r>
          </w:p>
        </w:tc>
      </w:tr>
      <w:tr w:rsidR="008E5E48" w:rsidTr="008E5E48">
        <w:trPr>
          <w:jc w:val="center"/>
        </w:trPr>
        <w:tc>
          <w:tcPr>
            <w:tcW w:w="648" w:type="dxa"/>
          </w:tcPr>
          <w:p w:rsidR="008E5E48" w:rsidRDefault="008E5E48" w:rsidP="008E5E48">
            <w:pPr>
              <w:spacing w:before="20" w:after="20"/>
              <w:rPr>
                <w:rFonts w:ascii="Arial" w:hAnsi="Arial" w:cs="Arial"/>
                <w:sz w:val="20"/>
                <w:szCs w:val="20"/>
              </w:rPr>
            </w:pPr>
            <w:r>
              <w:rPr>
                <w:rFonts w:ascii="Arial" w:hAnsi="Arial" w:cs="Arial"/>
                <w:sz w:val="20"/>
                <w:szCs w:val="20"/>
              </w:rPr>
              <w:t>7.</w:t>
            </w:r>
          </w:p>
        </w:tc>
        <w:tc>
          <w:tcPr>
            <w:tcW w:w="4014" w:type="dxa"/>
          </w:tcPr>
          <w:p w:rsidR="008E5E48" w:rsidRDefault="008E5E48" w:rsidP="008E5E48">
            <w:pPr>
              <w:spacing w:before="20" w:after="20"/>
              <w:rPr>
                <w:rFonts w:ascii="Arial" w:hAnsi="Arial" w:cs="Arial"/>
                <w:sz w:val="20"/>
                <w:szCs w:val="20"/>
              </w:rPr>
            </w:pPr>
            <w:r w:rsidRPr="00FE7B95">
              <w:rPr>
                <w:rFonts w:ascii="Arial" w:hAnsi="Arial" w:cs="Arial"/>
                <w:sz w:val="20"/>
                <w:szCs w:val="20"/>
              </w:rPr>
              <w:t>Stockton, Calif.</w:t>
            </w:r>
          </w:p>
        </w:tc>
        <w:tc>
          <w:tcPr>
            <w:tcW w:w="1602" w:type="dxa"/>
          </w:tcPr>
          <w:p w:rsidR="008E5E48" w:rsidRDefault="008E5E48" w:rsidP="008E5E48">
            <w:pPr>
              <w:spacing w:before="20" w:after="20"/>
              <w:rPr>
                <w:rFonts w:ascii="Arial" w:hAnsi="Arial" w:cs="Arial"/>
                <w:sz w:val="20"/>
                <w:szCs w:val="20"/>
              </w:rPr>
            </w:pPr>
            <w:r>
              <w:rPr>
                <w:rFonts w:ascii="Arial" w:hAnsi="Arial" w:cs="Arial"/>
                <w:sz w:val="20"/>
                <w:szCs w:val="20"/>
              </w:rPr>
              <w:t>7</w:t>
            </w:r>
          </w:p>
        </w:tc>
      </w:tr>
      <w:tr w:rsidR="008E5E48" w:rsidTr="008E5E48">
        <w:trPr>
          <w:jc w:val="center"/>
        </w:trPr>
        <w:tc>
          <w:tcPr>
            <w:tcW w:w="648" w:type="dxa"/>
          </w:tcPr>
          <w:p w:rsidR="008E5E48" w:rsidRDefault="008E5E48" w:rsidP="008E5E48">
            <w:pPr>
              <w:spacing w:before="20" w:after="20"/>
              <w:rPr>
                <w:rFonts w:ascii="Arial" w:hAnsi="Arial" w:cs="Arial"/>
                <w:sz w:val="20"/>
                <w:szCs w:val="20"/>
              </w:rPr>
            </w:pPr>
            <w:r>
              <w:rPr>
                <w:rFonts w:ascii="Arial" w:hAnsi="Arial" w:cs="Arial"/>
                <w:sz w:val="20"/>
                <w:szCs w:val="20"/>
              </w:rPr>
              <w:t>8.</w:t>
            </w:r>
          </w:p>
        </w:tc>
        <w:tc>
          <w:tcPr>
            <w:tcW w:w="4014" w:type="dxa"/>
          </w:tcPr>
          <w:p w:rsidR="008E5E48" w:rsidRDefault="008E5E48" w:rsidP="008E5E48">
            <w:pPr>
              <w:spacing w:before="20" w:after="20"/>
              <w:rPr>
                <w:rFonts w:ascii="Arial" w:hAnsi="Arial" w:cs="Arial"/>
                <w:sz w:val="20"/>
                <w:szCs w:val="20"/>
              </w:rPr>
            </w:pPr>
            <w:r>
              <w:rPr>
                <w:rFonts w:ascii="Arial" w:hAnsi="Arial" w:cs="Arial"/>
                <w:sz w:val="20"/>
                <w:szCs w:val="20"/>
              </w:rPr>
              <w:t>Anderson, S.C.</w:t>
            </w:r>
          </w:p>
        </w:tc>
        <w:tc>
          <w:tcPr>
            <w:tcW w:w="1602" w:type="dxa"/>
          </w:tcPr>
          <w:p w:rsidR="008E5E48" w:rsidRDefault="008E5E48" w:rsidP="008E5E48">
            <w:pPr>
              <w:spacing w:before="20" w:after="20"/>
              <w:rPr>
                <w:rFonts w:ascii="Arial" w:hAnsi="Arial" w:cs="Arial"/>
                <w:sz w:val="20"/>
                <w:szCs w:val="20"/>
              </w:rPr>
            </w:pPr>
            <w:r>
              <w:rPr>
                <w:rFonts w:ascii="Arial" w:hAnsi="Arial" w:cs="Arial"/>
                <w:sz w:val="20"/>
                <w:szCs w:val="20"/>
                <w:lang w:val="es-ES"/>
              </w:rPr>
              <w:t>33</w:t>
            </w:r>
          </w:p>
        </w:tc>
      </w:tr>
      <w:tr w:rsidR="008E5E48" w:rsidTr="008E5E48">
        <w:trPr>
          <w:jc w:val="center"/>
        </w:trPr>
        <w:tc>
          <w:tcPr>
            <w:tcW w:w="648" w:type="dxa"/>
          </w:tcPr>
          <w:p w:rsidR="008E5E48" w:rsidRDefault="008E5E48" w:rsidP="008E5E48">
            <w:pPr>
              <w:spacing w:before="20" w:after="20"/>
              <w:rPr>
                <w:rFonts w:ascii="Arial" w:hAnsi="Arial" w:cs="Arial"/>
                <w:sz w:val="20"/>
                <w:szCs w:val="20"/>
              </w:rPr>
            </w:pPr>
            <w:r>
              <w:rPr>
                <w:rFonts w:ascii="Arial" w:hAnsi="Arial" w:cs="Arial"/>
                <w:sz w:val="20"/>
                <w:szCs w:val="20"/>
              </w:rPr>
              <w:t>9.</w:t>
            </w:r>
          </w:p>
        </w:tc>
        <w:tc>
          <w:tcPr>
            <w:tcW w:w="4014" w:type="dxa"/>
          </w:tcPr>
          <w:p w:rsidR="008E5E48" w:rsidRDefault="008E5E48" w:rsidP="008E5E48">
            <w:pPr>
              <w:spacing w:before="20" w:after="20"/>
              <w:rPr>
                <w:rFonts w:ascii="Arial" w:hAnsi="Arial" w:cs="Arial"/>
                <w:sz w:val="20"/>
                <w:szCs w:val="20"/>
              </w:rPr>
            </w:pPr>
            <w:r>
              <w:rPr>
                <w:rFonts w:ascii="Arial" w:hAnsi="Arial" w:cs="Arial"/>
                <w:sz w:val="20"/>
                <w:szCs w:val="20"/>
                <w:lang w:val="es-ES"/>
              </w:rPr>
              <w:t xml:space="preserve">Vallejo-Fairfield, </w:t>
            </w:r>
            <w:proofErr w:type="spellStart"/>
            <w:r>
              <w:rPr>
                <w:rFonts w:ascii="Arial" w:hAnsi="Arial" w:cs="Arial"/>
                <w:sz w:val="20"/>
                <w:szCs w:val="20"/>
                <w:lang w:val="es-ES"/>
              </w:rPr>
              <w:t>Calif</w:t>
            </w:r>
            <w:proofErr w:type="spellEnd"/>
            <w:r>
              <w:rPr>
                <w:rFonts w:ascii="Arial" w:hAnsi="Arial" w:cs="Arial"/>
                <w:sz w:val="20"/>
                <w:szCs w:val="20"/>
                <w:lang w:val="es-ES"/>
              </w:rPr>
              <w:t>.</w:t>
            </w:r>
          </w:p>
        </w:tc>
        <w:tc>
          <w:tcPr>
            <w:tcW w:w="1602" w:type="dxa"/>
          </w:tcPr>
          <w:p w:rsidR="008E5E48" w:rsidRDefault="008E5E48" w:rsidP="008E5E48">
            <w:pPr>
              <w:spacing w:before="20" w:after="20"/>
              <w:rPr>
                <w:rFonts w:ascii="Arial" w:hAnsi="Arial" w:cs="Arial"/>
                <w:sz w:val="20"/>
                <w:szCs w:val="20"/>
              </w:rPr>
            </w:pPr>
            <w:r>
              <w:rPr>
                <w:rFonts w:ascii="Arial" w:hAnsi="Arial" w:cs="Arial"/>
                <w:sz w:val="20"/>
                <w:szCs w:val="20"/>
                <w:lang w:val="es-ES"/>
              </w:rPr>
              <w:t>5</w:t>
            </w:r>
          </w:p>
        </w:tc>
      </w:tr>
      <w:tr w:rsidR="008E5E48" w:rsidTr="008E5E48">
        <w:trPr>
          <w:jc w:val="center"/>
        </w:trPr>
        <w:tc>
          <w:tcPr>
            <w:tcW w:w="648" w:type="dxa"/>
          </w:tcPr>
          <w:p w:rsidR="008E5E48" w:rsidRDefault="008E5E48" w:rsidP="008E5E48">
            <w:pPr>
              <w:spacing w:before="20" w:after="20"/>
              <w:rPr>
                <w:rFonts w:ascii="Arial" w:hAnsi="Arial" w:cs="Arial"/>
                <w:sz w:val="20"/>
                <w:szCs w:val="20"/>
              </w:rPr>
            </w:pPr>
            <w:r>
              <w:rPr>
                <w:rFonts w:ascii="Arial" w:hAnsi="Arial" w:cs="Arial"/>
                <w:sz w:val="20"/>
                <w:szCs w:val="20"/>
              </w:rPr>
              <w:t>10.</w:t>
            </w:r>
          </w:p>
        </w:tc>
        <w:tc>
          <w:tcPr>
            <w:tcW w:w="4014" w:type="dxa"/>
          </w:tcPr>
          <w:p w:rsidR="008E5E48" w:rsidRDefault="008E5E48" w:rsidP="008E5E48">
            <w:pPr>
              <w:spacing w:before="20" w:after="20"/>
              <w:rPr>
                <w:rFonts w:ascii="Arial" w:hAnsi="Arial" w:cs="Arial"/>
                <w:sz w:val="20"/>
                <w:szCs w:val="20"/>
              </w:rPr>
            </w:pPr>
            <w:r w:rsidRPr="00FE7B95">
              <w:rPr>
                <w:rFonts w:ascii="Arial" w:hAnsi="Arial" w:cs="Arial"/>
                <w:sz w:val="20"/>
                <w:szCs w:val="20"/>
              </w:rPr>
              <w:t>Visalia-Porterville, Calif.</w:t>
            </w:r>
          </w:p>
        </w:tc>
        <w:tc>
          <w:tcPr>
            <w:tcW w:w="1602" w:type="dxa"/>
          </w:tcPr>
          <w:p w:rsidR="008E5E48" w:rsidRDefault="008E5E48" w:rsidP="008E5E48">
            <w:pPr>
              <w:spacing w:before="20" w:after="20"/>
              <w:rPr>
                <w:rFonts w:ascii="Arial" w:hAnsi="Arial" w:cs="Arial"/>
                <w:sz w:val="20"/>
                <w:szCs w:val="20"/>
              </w:rPr>
            </w:pPr>
            <w:r>
              <w:rPr>
                <w:rFonts w:ascii="Arial" w:hAnsi="Arial" w:cs="Arial"/>
                <w:sz w:val="20"/>
                <w:szCs w:val="20"/>
                <w:lang w:val="es-ES"/>
              </w:rPr>
              <w:t>8</w:t>
            </w:r>
          </w:p>
        </w:tc>
      </w:tr>
    </w:tbl>
    <w:p w:rsidR="00FE7B95" w:rsidRPr="00FE7B95" w:rsidRDefault="00FE7B95" w:rsidP="00FE7B95">
      <w:pPr>
        <w:rPr>
          <w:rFonts w:ascii="Arial" w:hAnsi="Arial" w:cs="Arial"/>
          <w:sz w:val="20"/>
          <w:szCs w:val="20"/>
        </w:rPr>
      </w:pPr>
    </w:p>
    <w:p w:rsidR="00FE7B95" w:rsidRPr="00FE7B95" w:rsidRDefault="00FE7B95" w:rsidP="00FE7B95">
      <w:pPr>
        <w:ind w:left="360"/>
        <w:rPr>
          <w:rFonts w:ascii="Arial" w:hAnsi="Arial" w:cs="Arial"/>
          <w:sz w:val="20"/>
          <w:szCs w:val="20"/>
        </w:rPr>
      </w:pPr>
      <w:r w:rsidRPr="00FE7B95">
        <w:rPr>
          <w:rFonts w:ascii="Arial" w:hAnsi="Arial" w:cs="Arial"/>
          <w:sz w:val="20"/>
          <w:szCs w:val="20"/>
        </w:rPr>
        <w:tab/>
      </w:r>
      <w:r w:rsidRPr="00FE7B95">
        <w:rPr>
          <w:rFonts w:ascii="Arial" w:hAnsi="Arial" w:cs="Arial"/>
          <w:sz w:val="20"/>
          <w:szCs w:val="20"/>
        </w:rPr>
        <w:tab/>
      </w:r>
      <w:r w:rsidRPr="00FE7B95">
        <w:rPr>
          <w:rFonts w:ascii="Arial" w:hAnsi="Arial" w:cs="Arial"/>
          <w:sz w:val="20"/>
          <w:szCs w:val="20"/>
        </w:rPr>
        <w:tab/>
      </w:r>
      <w:r w:rsidRPr="00FE7B95">
        <w:rPr>
          <w:rFonts w:ascii="Arial" w:hAnsi="Arial" w:cs="Arial"/>
          <w:sz w:val="20"/>
          <w:szCs w:val="20"/>
        </w:rPr>
        <w:tab/>
      </w:r>
    </w:p>
    <w:p w:rsidR="00FE7B95" w:rsidRPr="008E5E48" w:rsidRDefault="00FE7B95" w:rsidP="00FE7B95">
      <w:pPr>
        <w:rPr>
          <w:rFonts w:ascii="Arial" w:hAnsi="Arial" w:cs="Arial"/>
          <w:sz w:val="20"/>
          <w:szCs w:val="20"/>
        </w:rPr>
      </w:pPr>
      <w:r w:rsidRPr="008E5E48">
        <w:rPr>
          <w:rFonts w:ascii="Arial" w:hAnsi="Arial" w:cs="Arial"/>
          <w:sz w:val="20"/>
          <w:szCs w:val="20"/>
        </w:rPr>
        <w:t xml:space="preserve">NICB’s </w:t>
      </w:r>
      <w:r w:rsidRPr="008E5E48">
        <w:rPr>
          <w:rFonts w:ascii="Arial" w:hAnsi="Arial" w:cs="Arial"/>
          <w:i/>
          <w:sz w:val="20"/>
          <w:szCs w:val="20"/>
        </w:rPr>
        <w:t>Hot Spots</w:t>
      </w:r>
      <w:r w:rsidRPr="008E5E48">
        <w:rPr>
          <w:rFonts w:ascii="Arial" w:hAnsi="Arial" w:cs="Arial"/>
          <w:sz w:val="20"/>
          <w:szCs w:val="20"/>
        </w:rPr>
        <w:t xml:space="preserve"> report examines vehicle theft data obtained from the National Crime Information Center (NCIC) for each of the nation’s MSAs.</w:t>
      </w:r>
      <w:r w:rsidR="008E5E48" w:rsidRPr="008E5E48">
        <w:rPr>
          <w:rFonts w:ascii="Arial" w:hAnsi="Arial" w:cs="Arial"/>
          <w:sz w:val="20"/>
          <w:szCs w:val="20"/>
        </w:rPr>
        <w:t xml:space="preserve"> </w:t>
      </w:r>
      <w:r w:rsidRPr="008E5E48">
        <w:rPr>
          <w:rFonts w:ascii="Arial" w:hAnsi="Arial" w:cs="Arial"/>
          <w:sz w:val="20"/>
          <w:szCs w:val="20"/>
        </w:rPr>
        <w:t>MSAs are designated by the Office of Management and Budget (OMB) and often include areas much larger than the cities for which they are named.</w:t>
      </w:r>
      <w:r w:rsidR="008E5E48" w:rsidRPr="008E5E48">
        <w:rPr>
          <w:rFonts w:ascii="Arial" w:hAnsi="Arial" w:cs="Arial"/>
          <w:sz w:val="20"/>
          <w:szCs w:val="20"/>
        </w:rPr>
        <w:t xml:space="preserve"> </w:t>
      </w:r>
      <w:r w:rsidRPr="008E5E48">
        <w:rPr>
          <w:rFonts w:ascii="Arial" w:hAnsi="Arial" w:cs="Arial"/>
          <w:sz w:val="20"/>
          <w:szCs w:val="20"/>
        </w:rPr>
        <w:t xml:space="preserve">For example, the Fresno, Calif., MSA includes all thefts within the entire </w:t>
      </w:r>
      <w:r w:rsidRPr="008E5E48">
        <w:rPr>
          <w:rFonts w:ascii="Arial" w:hAnsi="Arial" w:cs="Arial"/>
          <w:i/>
          <w:sz w:val="20"/>
          <w:szCs w:val="20"/>
        </w:rPr>
        <w:t>county</w:t>
      </w:r>
      <w:r w:rsidRPr="008E5E48">
        <w:rPr>
          <w:rFonts w:ascii="Arial" w:hAnsi="Arial" w:cs="Arial"/>
          <w:sz w:val="20"/>
          <w:szCs w:val="20"/>
        </w:rPr>
        <w:t xml:space="preserve"> of Fresno, not just the city of Fresno.</w:t>
      </w:r>
    </w:p>
    <w:p w:rsidR="00FE7B95" w:rsidRPr="008E5E48" w:rsidRDefault="00FE7B95" w:rsidP="00FE7B95">
      <w:pPr>
        <w:rPr>
          <w:rFonts w:ascii="Arial" w:hAnsi="Arial" w:cs="Arial"/>
          <w:sz w:val="20"/>
          <w:szCs w:val="20"/>
        </w:rPr>
      </w:pPr>
    </w:p>
    <w:p w:rsidR="00FE7B95" w:rsidRPr="008E5E48" w:rsidRDefault="00AC2745" w:rsidP="00FE7B95">
      <w:pPr>
        <w:rPr>
          <w:rFonts w:ascii="Arial" w:hAnsi="Arial" w:cs="Arial"/>
          <w:sz w:val="20"/>
          <w:szCs w:val="20"/>
        </w:rPr>
      </w:pPr>
      <w:r w:rsidRPr="008E5E48">
        <w:rPr>
          <w:rFonts w:ascii="Arial" w:hAnsi="Arial" w:cs="Arial"/>
          <w:sz w:val="20"/>
          <w:szCs w:val="20"/>
        </w:rPr>
        <w:t xml:space="preserve">The FBI’s preliminary 2011 crime statistics </w:t>
      </w:r>
      <w:r w:rsidR="00A732A0">
        <w:rPr>
          <w:rFonts w:ascii="Arial" w:hAnsi="Arial" w:cs="Arial"/>
          <w:sz w:val="20"/>
          <w:szCs w:val="20"/>
        </w:rPr>
        <w:t xml:space="preserve">released last week </w:t>
      </w:r>
      <w:r w:rsidRPr="008E5E48">
        <w:rPr>
          <w:rFonts w:ascii="Arial" w:hAnsi="Arial" w:cs="Arial"/>
          <w:sz w:val="20"/>
          <w:szCs w:val="20"/>
        </w:rPr>
        <w:t xml:space="preserve">indicate a </w:t>
      </w:r>
      <w:r w:rsidR="00A732A0">
        <w:rPr>
          <w:rFonts w:ascii="Arial" w:hAnsi="Arial" w:cs="Arial"/>
          <w:sz w:val="20"/>
          <w:szCs w:val="20"/>
        </w:rPr>
        <w:t xml:space="preserve">3.3 </w:t>
      </w:r>
      <w:r w:rsidRPr="008E5E48">
        <w:rPr>
          <w:rFonts w:ascii="Arial" w:hAnsi="Arial" w:cs="Arial"/>
          <w:sz w:val="20"/>
          <w:szCs w:val="20"/>
        </w:rPr>
        <w:t xml:space="preserve">percent drop in vehicle thefts from </w:t>
      </w:r>
      <w:r w:rsidR="00567A96" w:rsidRPr="008E5E48">
        <w:rPr>
          <w:rFonts w:ascii="Arial" w:hAnsi="Arial" w:cs="Arial"/>
          <w:sz w:val="20"/>
          <w:szCs w:val="20"/>
        </w:rPr>
        <w:t xml:space="preserve">the </w:t>
      </w:r>
      <w:r w:rsidRPr="008E5E48">
        <w:rPr>
          <w:rFonts w:ascii="Arial" w:hAnsi="Arial" w:cs="Arial"/>
          <w:sz w:val="20"/>
          <w:szCs w:val="20"/>
        </w:rPr>
        <w:t>2010 number of 737,142.</w:t>
      </w:r>
      <w:r w:rsidR="008E5E48" w:rsidRPr="008E5E48">
        <w:rPr>
          <w:rFonts w:ascii="Arial" w:hAnsi="Arial" w:cs="Arial"/>
          <w:sz w:val="20"/>
          <w:szCs w:val="20"/>
        </w:rPr>
        <w:t xml:space="preserve"> </w:t>
      </w:r>
      <w:r w:rsidRPr="008E5E48">
        <w:rPr>
          <w:rFonts w:ascii="Arial" w:hAnsi="Arial" w:cs="Arial"/>
          <w:sz w:val="20"/>
          <w:szCs w:val="20"/>
        </w:rPr>
        <w:t>Contributing to this decline was the significant drop in the rankings of the Laredo, Tex</w:t>
      </w:r>
      <w:r w:rsidR="00CA0AC2" w:rsidRPr="008E5E48">
        <w:rPr>
          <w:rFonts w:ascii="Arial" w:hAnsi="Arial" w:cs="Arial"/>
          <w:sz w:val="20"/>
          <w:szCs w:val="20"/>
        </w:rPr>
        <w:t xml:space="preserve">as </w:t>
      </w:r>
      <w:r w:rsidRPr="008E5E48">
        <w:rPr>
          <w:rFonts w:ascii="Arial" w:hAnsi="Arial" w:cs="Arial"/>
          <w:sz w:val="20"/>
          <w:szCs w:val="20"/>
        </w:rPr>
        <w:t>MSA—from Number 1 in 2009 to 53 in 2011.</w:t>
      </w:r>
      <w:r w:rsidR="008E5E48" w:rsidRPr="008E5E48">
        <w:rPr>
          <w:rFonts w:ascii="Arial" w:hAnsi="Arial" w:cs="Arial"/>
          <w:sz w:val="20"/>
          <w:szCs w:val="20"/>
        </w:rPr>
        <w:t xml:space="preserve"> </w:t>
      </w:r>
      <w:r w:rsidRPr="008E5E48">
        <w:rPr>
          <w:rFonts w:ascii="Arial" w:hAnsi="Arial" w:cs="Arial"/>
          <w:sz w:val="20"/>
          <w:szCs w:val="20"/>
        </w:rPr>
        <w:t>Within two years</w:t>
      </w:r>
      <w:r w:rsidR="00567A96" w:rsidRPr="008E5E48">
        <w:rPr>
          <w:rFonts w:ascii="Arial" w:hAnsi="Arial" w:cs="Arial"/>
          <w:sz w:val="20"/>
          <w:szCs w:val="20"/>
        </w:rPr>
        <w:t>,</w:t>
      </w:r>
      <w:r w:rsidRPr="008E5E48">
        <w:rPr>
          <w:rFonts w:ascii="Arial" w:hAnsi="Arial" w:cs="Arial"/>
          <w:sz w:val="20"/>
          <w:szCs w:val="20"/>
        </w:rPr>
        <w:t xml:space="preserve"> Laredo’s thefts were down 53 percent, from 1</w:t>
      </w:r>
      <w:r w:rsidR="003661A0" w:rsidRPr="008E5E48">
        <w:rPr>
          <w:rFonts w:ascii="Arial" w:hAnsi="Arial" w:cs="Arial"/>
          <w:sz w:val="20"/>
          <w:szCs w:val="20"/>
        </w:rPr>
        <w:t>,</w:t>
      </w:r>
      <w:r w:rsidRPr="008E5E48">
        <w:rPr>
          <w:rFonts w:ascii="Arial" w:hAnsi="Arial" w:cs="Arial"/>
          <w:sz w:val="20"/>
          <w:szCs w:val="20"/>
        </w:rPr>
        <w:t xml:space="preserve">792 in 2009 to 849 in 2011. </w:t>
      </w:r>
    </w:p>
    <w:p w:rsidR="00AC2745" w:rsidRPr="008E5E48" w:rsidRDefault="00AC2745" w:rsidP="00FE7B95">
      <w:pPr>
        <w:rPr>
          <w:rFonts w:ascii="Arial" w:hAnsi="Arial" w:cs="Arial"/>
          <w:sz w:val="20"/>
          <w:szCs w:val="20"/>
        </w:rPr>
      </w:pPr>
    </w:p>
    <w:p w:rsidR="003661A0" w:rsidRPr="008E5E48" w:rsidRDefault="003661A0" w:rsidP="00FE7B95">
      <w:pPr>
        <w:rPr>
          <w:rFonts w:ascii="Arial" w:hAnsi="Arial" w:cs="Arial"/>
          <w:sz w:val="20"/>
          <w:szCs w:val="20"/>
        </w:rPr>
      </w:pPr>
      <w:r w:rsidRPr="008E5E48">
        <w:rPr>
          <w:rFonts w:ascii="Arial" w:hAnsi="Arial" w:cs="Arial"/>
          <w:sz w:val="20"/>
          <w:szCs w:val="20"/>
        </w:rPr>
        <w:t xml:space="preserve">Watch this </w:t>
      </w:r>
      <w:hyperlink r:id="rId9" w:history="1">
        <w:r w:rsidRPr="00D52E9F">
          <w:rPr>
            <w:rStyle w:val="Hyperlink"/>
            <w:rFonts w:ascii="Arial" w:hAnsi="Arial" w:cs="Arial"/>
            <w:sz w:val="20"/>
            <w:szCs w:val="20"/>
          </w:rPr>
          <w:t>video</w:t>
        </w:r>
      </w:hyperlink>
      <w:r w:rsidRPr="008E5E48">
        <w:rPr>
          <w:rFonts w:ascii="Arial" w:hAnsi="Arial" w:cs="Arial"/>
          <w:sz w:val="20"/>
          <w:szCs w:val="20"/>
        </w:rPr>
        <w:t xml:space="preserve"> to see how the Laredo Police Department’s efforts to reduce thefts have paid off.</w:t>
      </w:r>
      <w:r w:rsidR="00CA0AC2" w:rsidRPr="008E5E48">
        <w:rPr>
          <w:rFonts w:ascii="Arial" w:hAnsi="Arial" w:cs="Arial"/>
          <w:sz w:val="20"/>
          <w:szCs w:val="20"/>
        </w:rPr>
        <w:t xml:space="preserve">  </w:t>
      </w:r>
    </w:p>
    <w:p w:rsidR="00FE7B95" w:rsidRPr="008E5E48" w:rsidRDefault="00FE7B95" w:rsidP="00FE7B95">
      <w:pPr>
        <w:rPr>
          <w:rFonts w:ascii="Arial" w:hAnsi="Arial" w:cs="Arial"/>
          <w:sz w:val="20"/>
          <w:szCs w:val="20"/>
        </w:rPr>
      </w:pPr>
    </w:p>
    <w:p w:rsidR="00FE7B95" w:rsidRPr="008E5E48" w:rsidRDefault="00FE7B95" w:rsidP="00FE7B95">
      <w:pPr>
        <w:rPr>
          <w:rFonts w:ascii="Arial" w:hAnsi="Arial" w:cs="Arial"/>
          <w:sz w:val="20"/>
          <w:szCs w:val="20"/>
        </w:rPr>
      </w:pPr>
      <w:r w:rsidRPr="008E5E48">
        <w:rPr>
          <w:rFonts w:ascii="Arial" w:hAnsi="Arial" w:cs="Arial"/>
          <w:sz w:val="20"/>
          <w:szCs w:val="20"/>
        </w:rPr>
        <w:t xml:space="preserve">The full </w:t>
      </w:r>
      <w:r w:rsidRPr="008E5E48">
        <w:rPr>
          <w:rFonts w:ascii="Arial" w:hAnsi="Arial" w:cs="Arial"/>
          <w:i/>
          <w:sz w:val="20"/>
          <w:szCs w:val="20"/>
        </w:rPr>
        <w:t xml:space="preserve">Hot Spots </w:t>
      </w:r>
      <w:r w:rsidRPr="008E5E48">
        <w:rPr>
          <w:rFonts w:ascii="Arial" w:hAnsi="Arial" w:cs="Arial"/>
          <w:sz w:val="20"/>
          <w:szCs w:val="20"/>
        </w:rPr>
        <w:t xml:space="preserve">report is available at </w:t>
      </w:r>
      <w:hyperlink r:id="rId10" w:history="1">
        <w:r w:rsidRPr="008E5E48">
          <w:rPr>
            <w:rStyle w:val="Hyperlink"/>
            <w:rFonts w:ascii="Arial" w:hAnsi="Arial" w:cs="Arial"/>
            <w:sz w:val="20"/>
            <w:szCs w:val="20"/>
          </w:rPr>
          <w:t>www.nicb.org</w:t>
        </w:r>
      </w:hyperlink>
      <w:r w:rsidRPr="008E5E48">
        <w:rPr>
          <w:rFonts w:ascii="Arial" w:hAnsi="Arial" w:cs="Arial"/>
          <w:sz w:val="20"/>
          <w:szCs w:val="20"/>
        </w:rPr>
        <w:t xml:space="preserve">.   </w:t>
      </w:r>
    </w:p>
    <w:p w:rsidR="00FE7B95" w:rsidRPr="008E5E48" w:rsidRDefault="00FE7B95" w:rsidP="00FE7B95">
      <w:pPr>
        <w:rPr>
          <w:rFonts w:ascii="Arial" w:hAnsi="Arial" w:cs="Arial"/>
          <w:sz w:val="20"/>
          <w:szCs w:val="20"/>
        </w:rPr>
      </w:pPr>
      <w:r w:rsidRPr="008E5E48">
        <w:rPr>
          <w:rFonts w:ascii="Arial" w:hAnsi="Arial" w:cs="Arial"/>
          <w:sz w:val="20"/>
          <w:szCs w:val="20"/>
        </w:rPr>
        <w:t xml:space="preserve">  </w:t>
      </w:r>
    </w:p>
    <w:p w:rsidR="00FE7B95" w:rsidRPr="008E5E48" w:rsidRDefault="00CA0AC2" w:rsidP="00FE7B95">
      <w:pPr>
        <w:rPr>
          <w:rFonts w:ascii="Arial" w:hAnsi="Arial" w:cs="Arial"/>
          <w:sz w:val="20"/>
          <w:szCs w:val="20"/>
        </w:rPr>
      </w:pPr>
      <w:r w:rsidRPr="008E5E48">
        <w:rPr>
          <w:rFonts w:ascii="Arial" w:hAnsi="Arial" w:cs="Arial"/>
          <w:sz w:val="20"/>
          <w:szCs w:val="20"/>
        </w:rPr>
        <w:t xml:space="preserve">Although national vehicle thefts continue to decline, </w:t>
      </w:r>
      <w:r w:rsidR="00FE7B95" w:rsidRPr="008E5E48">
        <w:rPr>
          <w:rFonts w:ascii="Arial" w:hAnsi="Arial" w:cs="Arial"/>
          <w:sz w:val="20"/>
          <w:szCs w:val="20"/>
        </w:rPr>
        <w:t>NICB</w:t>
      </w:r>
      <w:r w:rsidRPr="008E5E48">
        <w:rPr>
          <w:rFonts w:ascii="Arial" w:hAnsi="Arial" w:cs="Arial"/>
          <w:sz w:val="20"/>
          <w:szCs w:val="20"/>
        </w:rPr>
        <w:t xml:space="preserve"> still</w:t>
      </w:r>
      <w:r w:rsidR="00FE7B95" w:rsidRPr="008E5E48">
        <w:rPr>
          <w:rFonts w:ascii="Arial" w:hAnsi="Arial" w:cs="Arial"/>
          <w:sz w:val="20"/>
          <w:szCs w:val="20"/>
        </w:rPr>
        <w:t xml:space="preserve"> recommends</w:t>
      </w:r>
      <w:r w:rsidRPr="008E5E48">
        <w:rPr>
          <w:rFonts w:ascii="Arial" w:hAnsi="Arial" w:cs="Arial"/>
          <w:sz w:val="20"/>
          <w:szCs w:val="20"/>
        </w:rPr>
        <w:t xml:space="preserve"> that drivers</w:t>
      </w:r>
      <w:r w:rsidR="00FE7B95" w:rsidRPr="008E5E48">
        <w:rPr>
          <w:rFonts w:ascii="Arial" w:hAnsi="Arial" w:cs="Arial"/>
          <w:sz w:val="20"/>
          <w:szCs w:val="20"/>
        </w:rPr>
        <w:t xml:space="preserve"> follow</w:t>
      </w:r>
      <w:r w:rsidRPr="008E5E48">
        <w:rPr>
          <w:rFonts w:ascii="Arial" w:hAnsi="Arial" w:cs="Arial"/>
          <w:sz w:val="20"/>
          <w:szCs w:val="20"/>
        </w:rPr>
        <w:t xml:space="preserve"> our </w:t>
      </w:r>
      <w:r w:rsidR="00FE7B95" w:rsidRPr="008E5E48">
        <w:rPr>
          <w:rFonts w:ascii="Arial" w:hAnsi="Arial" w:cs="Arial"/>
          <w:sz w:val="20"/>
          <w:szCs w:val="20"/>
        </w:rPr>
        <w:t>four “</w:t>
      </w:r>
      <w:hyperlink r:id="rId11" w:history="1">
        <w:r w:rsidR="00FE7B95" w:rsidRPr="008E5E48">
          <w:rPr>
            <w:rStyle w:val="Hyperlink"/>
            <w:rFonts w:ascii="Arial" w:hAnsi="Arial" w:cs="Arial"/>
            <w:sz w:val="20"/>
            <w:szCs w:val="20"/>
          </w:rPr>
          <w:t>layers of protection</w:t>
        </w:r>
      </w:hyperlink>
      <w:r w:rsidR="00FE7B95" w:rsidRPr="008E5E48">
        <w:rPr>
          <w:rFonts w:ascii="Arial" w:hAnsi="Arial" w:cs="Arial"/>
          <w:sz w:val="20"/>
          <w:szCs w:val="20"/>
        </w:rPr>
        <w:t xml:space="preserve">” </w:t>
      </w:r>
      <w:r w:rsidRPr="008E5E48">
        <w:rPr>
          <w:rFonts w:ascii="Arial" w:hAnsi="Arial" w:cs="Arial"/>
          <w:sz w:val="20"/>
          <w:szCs w:val="20"/>
        </w:rPr>
        <w:t xml:space="preserve">to guard </w:t>
      </w:r>
      <w:r w:rsidR="00FE7B95" w:rsidRPr="008E5E48">
        <w:rPr>
          <w:rFonts w:ascii="Arial" w:hAnsi="Arial" w:cs="Arial"/>
          <w:sz w:val="20"/>
          <w:szCs w:val="20"/>
        </w:rPr>
        <w:t xml:space="preserve">against vehicle theft: </w:t>
      </w:r>
    </w:p>
    <w:p w:rsidR="008E5E48" w:rsidRDefault="008E5E48" w:rsidP="008E5E48">
      <w:pPr>
        <w:rPr>
          <w:rFonts w:ascii="Arial" w:hAnsi="Arial" w:cs="Arial"/>
          <w:sz w:val="20"/>
          <w:szCs w:val="20"/>
        </w:rPr>
      </w:pPr>
    </w:p>
    <w:p w:rsidR="00FE7B95" w:rsidRPr="008E5E48" w:rsidRDefault="00FE7B95" w:rsidP="008E5E48">
      <w:pPr>
        <w:rPr>
          <w:rFonts w:ascii="Arial" w:hAnsi="Arial" w:cs="Arial"/>
          <w:b/>
          <w:color w:val="000000"/>
          <w:sz w:val="20"/>
          <w:szCs w:val="20"/>
        </w:rPr>
      </w:pPr>
      <w:r w:rsidRPr="008E5E48">
        <w:rPr>
          <w:rFonts w:ascii="Arial" w:hAnsi="Arial" w:cs="Arial"/>
          <w:b/>
          <w:sz w:val="20"/>
          <w:szCs w:val="20"/>
        </w:rPr>
        <w:t>Common Sense</w:t>
      </w:r>
      <w:r w:rsidRPr="008E5E48">
        <w:rPr>
          <w:rFonts w:ascii="Arial" w:hAnsi="Arial" w:cs="Arial"/>
          <w:sz w:val="20"/>
          <w:szCs w:val="20"/>
        </w:rPr>
        <w:t xml:space="preserve"> — </w:t>
      </w:r>
      <w:proofErr w:type="gramStart"/>
      <w:r w:rsidRPr="008E5E48">
        <w:rPr>
          <w:rFonts w:ascii="Arial" w:hAnsi="Arial" w:cs="Arial"/>
          <w:sz w:val="20"/>
          <w:szCs w:val="20"/>
        </w:rPr>
        <w:t>The</w:t>
      </w:r>
      <w:proofErr w:type="gramEnd"/>
      <w:r w:rsidRPr="008E5E48">
        <w:rPr>
          <w:rFonts w:ascii="Arial" w:hAnsi="Arial" w:cs="Arial"/>
          <w:sz w:val="20"/>
          <w:szCs w:val="20"/>
        </w:rPr>
        <w:t xml:space="preserve"> common sense approach to protection is the easiest and most cost-effective way to thwart would-be thieves.</w:t>
      </w:r>
      <w:r w:rsidR="008E5E48">
        <w:rPr>
          <w:rFonts w:ascii="Arial" w:hAnsi="Arial" w:cs="Arial"/>
          <w:sz w:val="20"/>
          <w:szCs w:val="20"/>
        </w:rPr>
        <w:t xml:space="preserve"> </w:t>
      </w:r>
      <w:r w:rsidRPr="008E5E48">
        <w:rPr>
          <w:rFonts w:ascii="Arial" w:hAnsi="Arial" w:cs="Arial"/>
          <w:color w:val="000000"/>
          <w:sz w:val="20"/>
          <w:szCs w:val="20"/>
        </w:rPr>
        <w:t>You should always:</w:t>
      </w:r>
    </w:p>
    <w:p w:rsidR="00FE7B95" w:rsidRPr="00FE7B95" w:rsidRDefault="00FE7B95" w:rsidP="00FE7B95">
      <w:pPr>
        <w:numPr>
          <w:ilvl w:val="0"/>
          <w:numId w:val="2"/>
        </w:numPr>
        <w:spacing w:before="100" w:beforeAutospacing="1" w:after="100" w:afterAutospacing="1"/>
        <w:rPr>
          <w:rFonts w:ascii="Arial" w:hAnsi="Arial" w:cs="Arial"/>
          <w:color w:val="000000"/>
          <w:sz w:val="20"/>
          <w:szCs w:val="20"/>
        </w:rPr>
      </w:pPr>
      <w:r w:rsidRPr="00FE7B95">
        <w:rPr>
          <w:rFonts w:ascii="Arial" w:hAnsi="Arial" w:cs="Arial"/>
          <w:color w:val="000000"/>
          <w:sz w:val="20"/>
          <w:szCs w:val="20"/>
        </w:rPr>
        <w:t xml:space="preserve">Remove your keys from the ignition </w:t>
      </w:r>
    </w:p>
    <w:p w:rsidR="00FE7B95" w:rsidRPr="00FE7B95" w:rsidRDefault="00FE7B95" w:rsidP="00FE7B95">
      <w:pPr>
        <w:numPr>
          <w:ilvl w:val="0"/>
          <w:numId w:val="2"/>
        </w:numPr>
        <w:spacing w:before="100" w:beforeAutospacing="1" w:after="100" w:afterAutospacing="1"/>
        <w:rPr>
          <w:rFonts w:ascii="Arial" w:hAnsi="Arial" w:cs="Arial"/>
          <w:color w:val="000000"/>
          <w:sz w:val="20"/>
          <w:szCs w:val="20"/>
        </w:rPr>
      </w:pPr>
      <w:r w:rsidRPr="00FE7B95">
        <w:rPr>
          <w:rFonts w:ascii="Arial" w:hAnsi="Arial" w:cs="Arial"/>
          <w:color w:val="000000"/>
          <w:sz w:val="20"/>
          <w:szCs w:val="20"/>
        </w:rPr>
        <w:t xml:space="preserve">Lock your doors /close your windows              </w:t>
      </w:r>
    </w:p>
    <w:p w:rsidR="00FE7B95" w:rsidRPr="00FE7B95" w:rsidRDefault="00FE7B95" w:rsidP="00FE7B95">
      <w:pPr>
        <w:numPr>
          <w:ilvl w:val="0"/>
          <w:numId w:val="2"/>
        </w:numPr>
        <w:spacing w:before="100" w:beforeAutospacing="1" w:after="100" w:afterAutospacing="1"/>
        <w:rPr>
          <w:rFonts w:ascii="Arial" w:hAnsi="Arial" w:cs="Arial"/>
          <w:color w:val="000000"/>
          <w:sz w:val="20"/>
          <w:szCs w:val="20"/>
        </w:rPr>
      </w:pPr>
      <w:r w:rsidRPr="00FE7B95">
        <w:rPr>
          <w:rFonts w:ascii="Arial" w:hAnsi="Arial" w:cs="Arial"/>
          <w:sz w:val="20"/>
          <w:szCs w:val="20"/>
        </w:rPr>
        <w:t xml:space="preserve">Park in a well-lit area </w:t>
      </w:r>
    </w:p>
    <w:p w:rsidR="00FE7B95" w:rsidRPr="00FE7B95" w:rsidRDefault="00FE7B95" w:rsidP="00FE7B95">
      <w:pPr>
        <w:spacing w:before="100" w:beforeAutospacing="1" w:after="100" w:afterAutospacing="1"/>
        <w:rPr>
          <w:rFonts w:ascii="Arial" w:hAnsi="Arial" w:cs="Arial"/>
          <w:sz w:val="20"/>
          <w:szCs w:val="20"/>
        </w:rPr>
      </w:pPr>
      <w:r w:rsidRPr="00FE7B95">
        <w:rPr>
          <w:rFonts w:ascii="Arial" w:hAnsi="Arial" w:cs="Arial"/>
          <w:b/>
          <w:sz w:val="20"/>
          <w:szCs w:val="20"/>
        </w:rPr>
        <w:t xml:space="preserve">Warning Device — </w:t>
      </w:r>
      <w:r w:rsidRPr="00FE7B95">
        <w:rPr>
          <w:rFonts w:ascii="Arial" w:hAnsi="Arial" w:cs="Arial"/>
          <w:sz w:val="20"/>
          <w:szCs w:val="20"/>
        </w:rPr>
        <w:t>The second layer of protection is a visible or audible device which alerts thieves that your vehicle is protected.</w:t>
      </w:r>
      <w:r w:rsidR="008E5E48">
        <w:rPr>
          <w:rFonts w:ascii="Arial" w:hAnsi="Arial" w:cs="Arial"/>
          <w:sz w:val="20"/>
          <w:szCs w:val="20"/>
        </w:rPr>
        <w:t xml:space="preserve"> </w:t>
      </w:r>
      <w:r w:rsidRPr="00FE7B95">
        <w:rPr>
          <w:rFonts w:ascii="Arial" w:hAnsi="Arial" w:cs="Arial"/>
          <w:sz w:val="20"/>
          <w:szCs w:val="20"/>
        </w:rPr>
        <w:t>Popular devices include:</w:t>
      </w:r>
    </w:p>
    <w:p w:rsidR="00FE7B95" w:rsidRPr="00FE7B95" w:rsidRDefault="00FE7B95" w:rsidP="00FE7B95">
      <w:pPr>
        <w:numPr>
          <w:ilvl w:val="0"/>
          <w:numId w:val="3"/>
        </w:numPr>
        <w:spacing w:before="100" w:beforeAutospacing="1" w:after="100" w:afterAutospacing="1"/>
        <w:rPr>
          <w:rFonts w:ascii="Arial" w:hAnsi="Arial" w:cs="Arial"/>
          <w:color w:val="000000"/>
          <w:sz w:val="20"/>
          <w:szCs w:val="20"/>
        </w:rPr>
      </w:pPr>
      <w:r w:rsidRPr="00FE7B95">
        <w:rPr>
          <w:rFonts w:ascii="Arial" w:hAnsi="Arial" w:cs="Arial"/>
          <w:color w:val="000000"/>
          <w:sz w:val="20"/>
          <w:szCs w:val="20"/>
        </w:rPr>
        <w:t xml:space="preserve">Audible alarms </w:t>
      </w:r>
    </w:p>
    <w:p w:rsidR="00FE7B95" w:rsidRPr="00FE7B95" w:rsidRDefault="00FE7B95" w:rsidP="00FE7B95">
      <w:pPr>
        <w:numPr>
          <w:ilvl w:val="0"/>
          <w:numId w:val="3"/>
        </w:numPr>
        <w:spacing w:before="100" w:beforeAutospacing="1" w:after="100" w:afterAutospacing="1"/>
        <w:rPr>
          <w:rFonts w:ascii="Arial" w:hAnsi="Arial" w:cs="Arial"/>
          <w:color w:val="000000"/>
          <w:sz w:val="20"/>
          <w:szCs w:val="20"/>
        </w:rPr>
      </w:pPr>
      <w:r w:rsidRPr="00FE7B95">
        <w:rPr>
          <w:rFonts w:ascii="Arial" w:hAnsi="Arial" w:cs="Arial"/>
          <w:color w:val="000000"/>
          <w:sz w:val="20"/>
          <w:szCs w:val="20"/>
        </w:rPr>
        <w:t xml:space="preserve">Steering column collars </w:t>
      </w:r>
    </w:p>
    <w:p w:rsidR="00FE7B95" w:rsidRPr="00FE7B95" w:rsidRDefault="00FE7B95" w:rsidP="00FE7B95">
      <w:pPr>
        <w:numPr>
          <w:ilvl w:val="0"/>
          <w:numId w:val="3"/>
        </w:numPr>
        <w:spacing w:before="100" w:beforeAutospacing="1" w:after="100" w:afterAutospacing="1"/>
        <w:rPr>
          <w:rFonts w:ascii="Arial" w:hAnsi="Arial" w:cs="Arial"/>
          <w:color w:val="000000"/>
          <w:sz w:val="20"/>
          <w:szCs w:val="20"/>
        </w:rPr>
      </w:pPr>
      <w:r w:rsidRPr="00FE7B95">
        <w:rPr>
          <w:rFonts w:ascii="Arial" w:hAnsi="Arial" w:cs="Arial"/>
          <w:color w:val="000000"/>
          <w:sz w:val="20"/>
          <w:szCs w:val="20"/>
        </w:rPr>
        <w:t>Steering wheel/brake pedal lock</w:t>
      </w:r>
    </w:p>
    <w:p w:rsidR="00FE7B95" w:rsidRPr="00FE7B95" w:rsidRDefault="00FE7B95" w:rsidP="00FE7B95">
      <w:pPr>
        <w:numPr>
          <w:ilvl w:val="0"/>
          <w:numId w:val="3"/>
        </w:numPr>
        <w:spacing w:before="100" w:beforeAutospacing="1" w:after="100" w:afterAutospacing="1"/>
        <w:rPr>
          <w:rFonts w:ascii="Arial" w:hAnsi="Arial" w:cs="Arial"/>
          <w:color w:val="000000"/>
          <w:sz w:val="20"/>
          <w:szCs w:val="20"/>
        </w:rPr>
      </w:pPr>
      <w:r w:rsidRPr="00FE7B95">
        <w:rPr>
          <w:rFonts w:ascii="Arial" w:hAnsi="Arial" w:cs="Arial"/>
          <w:color w:val="000000"/>
          <w:sz w:val="20"/>
          <w:szCs w:val="20"/>
        </w:rPr>
        <w:t xml:space="preserve">Brake locks </w:t>
      </w:r>
    </w:p>
    <w:p w:rsidR="00FE7B95" w:rsidRPr="00FE7B95" w:rsidRDefault="00FE7B95" w:rsidP="00FE7B95">
      <w:pPr>
        <w:numPr>
          <w:ilvl w:val="0"/>
          <w:numId w:val="3"/>
        </w:numPr>
        <w:spacing w:before="100" w:beforeAutospacing="1" w:after="100" w:afterAutospacing="1"/>
        <w:rPr>
          <w:rFonts w:ascii="Arial" w:hAnsi="Arial" w:cs="Arial"/>
          <w:color w:val="000000"/>
          <w:sz w:val="20"/>
          <w:szCs w:val="20"/>
        </w:rPr>
      </w:pPr>
      <w:r w:rsidRPr="00FE7B95">
        <w:rPr>
          <w:rFonts w:ascii="Arial" w:hAnsi="Arial" w:cs="Arial"/>
          <w:color w:val="000000"/>
          <w:sz w:val="20"/>
          <w:szCs w:val="20"/>
        </w:rPr>
        <w:t>Wheel locks</w:t>
      </w:r>
    </w:p>
    <w:p w:rsidR="00FE7B95" w:rsidRPr="00FE7B95" w:rsidRDefault="00FE7B95" w:rsidP="00FE7B95">
      <w:pPr>
        <w:numPr>
          <w:ilvl w:val="0"/>
          <w:numId w:val="3"/>
        </w:numPr>
        <w:spacing w:before="100" w:beforeAutospacing="1" w:after="100" w:afterAutospacing="1"/>
        <w:rPr>
          <w:rFonts w:ascii="Arial" w:hAnsi="Arial" w:cs="Arial"/>
          <w:color w:val="000000"/>
          <w:sz w:val="20"/>
          <w:szCs w:val="20"/>
        </w:rPr>
      </w:pPr>
      <w:r w:rsidRPr="00FE7B95">
        <w:rPr>
          <w:rFonts w:ascii="Arial" w:hAnsi="Arial" w:cs="Arial"/>
          <w:color w:val="000000"/>
          <w:sz w:val="20"/>
          <w:szCs w:val="20"/>
        </w:rPr>
        <w:t xml:space="preserve">Theft deterrent decals </w:t>
      </w:r>
    </w:p>
    <w:p w:rsidR="00FE7B95" w:rsidRPr="00FE7B95" w:rsidRDefault="00FE7B95" w:rsidP="00FE7B95">
      <w:pPr>
        <w:numPr>
          <w:ilvl w:val="0"/>
          <w:numId w:val="3"/>
        </w:numPr>
        <w:spacing w:before="100" w:beforeAutospacing="1" w:after="100" w:afterAutospacing="1"/>
        <w:rPr>
          <w:rFonts w:ascii="Arial" w:hAnsi="Arial" w:cs="Arial"/>
          <w:color w:val="000000"/>
          <w:sz w:val="20"/>
          <w:szCs w:val="20"/>
        </w:rPr>
      </w:pPr>
      <w:r w:rsidRPr="00FE7B95">
        <w:rPr>
          <w:rFonts w:ascii="Arial" w:hAnsi="Arial" w:cs="Arial"/>
          <w:color w:val="000000"/>
          <w:sz w:val="20"/>
          <w:szCs w:val="20"/>
        </w:rPr>
        <w:t xml:space="preserve">Identification markers in or on vehicle </w:t>
      </w:r>
    </w:p>
    <w:p w:rsidR="00FE7B95" w:rsidRPr="00FE7B95" w:rsidRDefault="00FE7B95" w:rsidP="00FE7B95">
      <w:pPr>
        <w:numPr>
          <w:ilvl w:val="0"/>
          <w:numId w:val="3"/>
        </w:numPr>
        <w:spacing w:before="100" w:beforeAutospacing="1" w:after="100" w:afterAutospacing="1"/>
        <w:rPr>
          <w:rFonts w:ascii="Arial" w:hAnsi="Arial" w:cs="Arial"/>
          <w:color w:val="000000"/>
          <w:sz w:val="20"/>
          <w:szCs w:val="20"/>
        </w:rPr>
      </w:pPr>
      <w:r w:rsidRPr="00FE7B95">
        <w:rPr>
          <w:rFonts w:ascii="Arial" w:hAnsi="Arial" w:cs="Arial"/>
          <w:color w:val="000000"/>
          <w:sz w:val="20"/>
          <w:szCs w:val="20"/>
        </w:rPr>
        <w:t>VIN etching</w:t>
      </w:r>
    </w:p>
    <w:p w:rsidR="00FE7B95" w:rsidRPr="00FE7B95" w:rsidRDefault="00FE7B95" w:rsidP="00FE7B95">
      <w:pPr>
        <w:numPr>
          <w:ilvl w:val="0"/>
          <w:numId w:val="3"/>
        </w:numPr>
        <w:spacing w:before="100" w:beforeAutospacing="1" w:after="100" w:afterAutospacing="1"/>
        <w:rPr>
          <w:rFonts w:ascii="Arial" w:hAnsi="Arial" w:cs="Arial"/>
          <w:color w:val="000000"/>
          <w:sz w:val="20"/>
          <w:szCs w:val="20"/>
        </w:rPr>
      </w:pPr>
      <w:r w:rsidRPr="00FE7B95">
        <w:rPr>
          <w:rFonts w:ascii="Arial" w:hAnsi="Arial" w:cs="Arial"/>
          <w:color w:val="000000"/>
          <w:sz w:val="20"/>
          <w:szCs w:val="20"/>
        </w:rPr>
        <w:t xml:space="preserve">Micro dot marking </w:t>
      </w:r>
    </w:p>
    <w:p w:rsidR="00FE7B95" w:rsidRPr="008E5E48" w:rsidRDefault="00FE7B95" w:rsidP="008E5E48">
      <w:pPr>
        <w:rPr>
          <w:rFonts w:ascii="Arial" w:hAnsi="Arial" w:cs="Arial"/>
          <w:b/>
          <w:color w:val="000000"/>
          <w:sz w:val="20"/>
          <w:szCs w:val="20"/>
        </w:rPr>
      </w:pPr>
      <w:r w:rsidRPr="008E5E48">
        <w:rPr>
          <w:rFonts w:ascii="Arial" w:hAnsi="Arial" w:cs="Arial"/>
          <w:b/>
          <w:sz w:val="20"/>
          <w:szCs w:val="20"/>
        </w:rPr>
        <w:t>Immobilizing Device</w:t>
      </w:r>
      <w:r w:rsidRPr="008E5E48">
        <w:rPr>
          <w:rFonts w:ascii="Arial" w:hAnsi="Arial" w:cs="Arial"/>
          <w:sz w:val="20"/>
          <w:szCs w:val="20"/>
        </w:rPr>
        <w:t xml:space="preserve"> — </w:t>
      </w:r>
      <w:proofErr w:type="gramStart"/>
      <w:r w:rsidRPr="008E5E48">
        <w:rPr>
          <w:rFonts w:ascii="Arial" w:hAnsi="Arial" w:cs="Arial"/>
          <w:sz w:val="20"/>
          <w:szCs w:val="20"/>
        </w:rPr>
        <w:t>The</w:t>
      </w:r>
      <w:proofErr w:type="gramEnd"/>
      <w:r w:rsidRPr="008E5E48">
        <w:rPr>
          <w:rFonts w:ascii="Arial" w:hAnsi="Arial" w:cs="Arial"/>
          <w:sz w:val="20"/>
          <w:szCs w:val="20"/>
        </w:rPr>
        <w:t xml:space="preserve"> third layer of protection is a device which prevents thieves from bypassing your ignition and hot-wiring the vehicle.</w:t>
      </w:r>
      <w:r w:rsidR="008E5E48">
        <w:rPr>
          <w:rFonts w:ascii="Arial" w:hAnsi="Arial" w:cs="Arial"/>
          <w:sz w:val="20"/>
          <w:szCs w:val="20"/>
        </w:rPr>
        <w:t xml:space="preserve"> </w:t>
      </w:r>
      <w:r w:rsidRPr="008E5E48">
        <w:rPr>
          <w:rFonts w:ascii="Arial" w:hAnsi="Arial" w:cs="Arial"/>
          <w:color w:val="000000"/>
          <w:sz w:val="20"/>
          <w:szCs w:val="20"/>
        </w:rPr>
        <w:t>Some electronic devices have computer chips in ignition keys. Other devices inhibit the flow of electricity or fuel to the engine until a hidden switch or button is activated.</w:t>
      </w:r>
      <w:r w:rsidR="008E5E48">
        <w:rPr>
          <w:rFonts w:ascii="Arial" w:hAnsi="Arial" w:cs="Arial"/>
          <w:color w:val="000000"/>
          <w:sz w:val="20"/>
          <w:szCs w:val="20"/>
        </w:rPr>
        <w:t xml:space="preserve"> </w:t>
      </w:r>
      <w:r w:rsidRPr="008E5E48">
        <w:rPr>
          <w:rFonts w:ascii="Arial" w:hAnsi="Arial" w:cs="Arial"/>
          <w:color w:val="000000"/>
          <w:sz w:val="20"/>
          <w:szCs w:val="20"/>
        </w:rPr>
        <w:t>Some examples are:</w:t>
      </w:r>
    </w:p>
    <w:p w:rsidR="00FE7B95" w:rsidRPr="00FE7B95" w:rsidRDefault="00FE7B95" w:rsidP="00FE7B95">
      <w:pPr>
        <w:numPr>
          <w:ilvl w:val="0"/>
          <w:numId w:val="4"/>
        </w:numPr>
        <w:spacing w:before="100" w:beforeAutospacing="1" w:after="100" w:afterAutospacing="1"/>
        <w:rPr>
          <w:rFonts w:ascii="Arial" w:hAnsi="Arial" w:cs="Arial"/>
          <w:color w:val="000000"/>
          <w:sz w:val="20"/>
          <w:szCs w:val="20"/>
        </w:rPr>
      </w:pPr>
      <w:r w:rsidRPr="00FE7B95">
        <w:rPr>
          <w:rFonts w:ascii="Arial" w:hAnsi="Arial" w:cs="Arial"/>
          <w:color w:val="000000"/>
          <w:sz w:val="20"/>
          <w:szCs w:val="20"/>
        </w:rPr>
        <w:t>Smart keys</w:t>
      </w:r>
    </w:p>
    <w:p w:rsidR="00FE7B95" w:rsidRPr="00FE7B95" w:rsidRDefault="00FE7B95" w:rsidP="00FE7B95">
      <w:pPr>
        <w:numPr>
          <w:ilvl w:val="0"/>
          <w:numId w:val="4"/>
        </w:numPr>
        <w:spacing w:before="100" w:beforeAutospacing="1" w:after="100" w:afterAutospacing="1"/>
        <w:rPr>
          <w:rFonts w:ascii="Arial" w:hAnsi="Arial" w:cs="Arial"/>
          <w:color w:val="000000"/>
          <w:sz w:val="20"/>
          <w:szCs w:val="20"/>
        </w:rPr>
      </w:pPr>
      <w:r w:rsidRPr="00FE7B95">
        <w:rPr>
          <w:rFonts w:ascii="Arial" w:hAnsi="Arial" w:cs="Arial"/>
          <w:color w:val="000000"/>
          <w:sz w:val="20"/>
          <w:szCs w:val="20"/>
        </w:rPr>
        <w:t xml:space="preserve">Fuse cut-offs </w:t>
      </w:r>
    </w:p>
    <w:p w:rsidR="00FE7B95" w:rsidRPr="00FE7B95" w:rsidRDefault="00FE7B95" w:rsidP="00FE7B95">
      <w:pPr>
        <w:numPr>
          <w:ilvl w:val="0"/>
          <w:numId w:val="4"/>
        </w:numPr>
        <w:spacing w:before="100" w:beforeAutospacing="1" w:after="100" w:afterAutospacing="1"/>
        <w:rPr>
          <w:rFonts w:ascii="Arial" w:hAnsi="Arial" w:cs="Arial"/>
          <w:color w:val="000000"/>
          <w:sz w:val="20"/>
          <w:szCs w:val="20"/>
        </w:rPr>
      </w:pPr>
      <w:r w:rsidRPr="00FE7B95">
        <w:rPr>
          <w:rFonts w:ascii="Arial" w:hAnsi="Arial" w:cs="Arial"/>
          <w:color w:val="000000"/>
          <w:sz w:val="20"/>
          <w:szCs w:val="20"/>
        </w:rPr>
        <w:t xml:space="preserve">Kill switches </w:t>
      </w:r>
    </w:p>
    <w:p w:rsidR="00FE7B95" w:rsidRPr="00FE7B95" w:rsidRDefault="00FE7B95" w:rsidP="00FE7B95">
      <w:pPr>
        <w:numPr>
          <w:ilvl w:val="0"/>
          <w:numId w:val="4"/>
        </w:numPr>
        <w:spacing w:before="100" w:beforeAutospacing="1" w:after="100" w:afterAutospacing="1"/>
        <w:rPr>
          <w:rFonts w:ascii="Arial" w:hAnsi="Arial" w:cs="Arial"/>
          <w:color w:val="000000"/>
          <w:sz w:val="20"/>
          <w:szCs w:val="20"/>
        </w:rPr>
      </w:pPr>
      <w:r w:rsidRPr="00FE7B95">
        <w:rPr>
          <w:rFonts w:ascii="Arial" w:hAnsi="Arial" w:cs="Arial"/>
          <w:color w:val="000000"/>
          <w:sz w:val="20"/>
          <w:szCs w:val="20"/>
        </w:rPr>
        <w:t>Starter, ignition, and fuel pump disablers</w:t>
      </w:r>
    </w:p>
    <w:p w:rsidR="00FE7B95" w:rsidRPr="00FE7B95" w:rsidRDefault="00FE7B95" w:rsidP="00FE7B95">
      <w:pPr>
        <w:numPr>
          <w:ilvl w:val="0"/>
          <w:numId w:val="4"/>
        </w:numPr>
        <w:spacing w:before="100" w:beforeAutospacing="1" w:after="100" w:afterAutospacing="1"/>
        <w:rPr>
          <w:rFonts w:ascii="Arial" w:hAnsi="Arial" w:cs="Arial"/>
          <w:color w:val="000000"/>
          <w:sz w:val="20"/>
          <w:szCs w:val="20"/>
        </w:rPr>
      </w:pPr>
      <w:r w:rsidRPr="00FE7B95">
        <w:rPr>
          <w:rFonts w:ascii="Arial" w:hAnsi="Arial" w:cs="Arial"/>
          <w:color w:val="000000"/>
          <w:sz w:val="20"/>
          <w:szCs w:val="20"/>
        </w:rPr>
        <w:t>Wireless ignition authentication</w:t>
      </w:r>
    </w:p>
    <w:p w:rsidR="00FE7B95" w:rsidRPr="008E5E48" w:rsidRDefault="00FE7B95" w:rsidP="008E5E48">
      <w:pPr>
        <w:rPr>
          <w:rFonts w:ascii="Arial" w:hAnsi="Arial" w:cs="Arial"/>
          <w:b/>
          <w:sz w:val="20"/>
          <w:szCs w:val="20"/>
        </w:rPr>
      </w:pPr>
      <w:r w:rsidRPr="008E5E48">
        <w:rPr>
          <w:rFonts w:ascii="Arial" w:hAnsi="Arial" w:cs="Arial"/>
          <w:b/>
          <w:sz w:val="20"/>
          <w:szCs w:val="20"/>
        </w:rPr>
        <w:t>Tracking Device</w:t>
      </w:r>
      <w:r w:rsidRPr="008E5E48">
        <w:rPr>
          <w:rFonts w:ascii="Arial" w:hAnsi="Arial" w:cs="Arial"/>
          <w:sz w:val="20"/>
          <w:szCs w:val="20"/>
        </w:rPr>
        <w:t xml:space="preserve"> — </w:t>
      </w:r>
      <w:proofErr w:type="gramStart"/>
      <w:r w:rsidRPr="008E5E48">
        <w:rPr>
          <w:rFonts w:ascii="Arial" w:hAnsi="Arial" w:cs="Arial"/>
          <w:sz w:val="20"/>
          <w:szCs w:val="20"/>
        </w:rPr>
        <w:t>The</w:t>
      </w:r>
      <w:proofErr w:type="gramEnd"/>
      <w:r w:rsidRPr="008E5E48">
        <w:rPr>
          <w:rFonts w:ascii="Arial" w:hAnsi="Arial" w:cs="Arial"/>
          <w:sz w:val="20"/>
          <w:szCs w:val="20"/>
        </w:rPr>
        <w:t xml:space="preserve"> final layer of protection is a tracking device which emits a signal to police or a monitoring station when the vehicle is stolen.</w:t>
      </w:r>
      <w:r w:rsidR="008E5E48" w:rsidRPr="008E5E48">
        <w:rPr>
          <w:rFonts w:ascii="Arial" w:hAnsi="Arial" w:cs="Arial"/>
          <w:sz w:val="20"/>
          <w:szCs w:val="20"/>
        </w:rPr>
        <w:t xml:space="preserve"> </w:t>
      </w:r>
      <w:r w:rsidRPr="008E5E48">
        <w:rPr>
          <w:rFonts w:ascii="Arial" w:hAnsi="Arial" w:cs="Arial"/>
          <w:sz w:val="20"/>
          <w:szCs w:val="20"/>
        </w:rPr>
        <w:t>Tracking devices are very effective in helping authorities recover stolen vehicles.</w:t>
      </w:r>
      <w:r w:rsidR="008E5E48" w:rsidRPr="008E5E48">
        <w:rPr>
          <w:rFonts w:ascii="Arial" w:hAnsi="Arial" w:cs="Arial"/>
          <w:sz w:val="20"/>
          <w:szCs w:val="20"/>
        </w:rPr>
        <w:t xml:space="preserve"> </w:t>
      </w:r>
      <w:r w:rsidRPr="008E5E48">
        <w:rPr>
          <w:rFonts w:ascii="Arial" w:hAnsi="Arial" w:cs="Arial"/>
          <w:sz w:val="20"/>
          <w:szCs w:val="20"/>
        </w:rPr>
        <w:t>Some systems employ “</w:t>
      </w:r>
      <w:proofErr w:type="spellStart"/>
      <w:r w:rsidRPr="008E5E48">
        <w:rPr>
          <w:rFonts w:ascii="Arial" w:hAnsi="Arial" w:cs="Arial"/>
          <w:sz w:val="20"/>
          <w:szCs w:val="20"/>
        </w:rPr>
        <w:t>telematics</w:t>
      </w:r>
      <w:proofErr w:type="spellEnd"/>
      <w:r w:rsidRPr="008E5E48">
        <w:rPr>
          <w:rFonts w:ascii="Arial" w:hAnsi="Arial" w:cs="Arial"/>
          <w:sz w:val="20"/>
          <w:szCs w:val="20"/>
        </w:rPr>
        <w:t>” which combine GPS and wireless technologies to allow remote monitoring of a vehicle.</w:t>
      </w:r>
      <w:r w:rsidR="008E5E48" w:rsidRPr="008E5E48">
        <w:rPr>
          <w:rFonts w:ascii="Arial" w:hAnsi="Arial" w:cs="Arial"/>
          <w:sz w:val="20"/>
          <w:szCs w:val="20"/>
        </w:rPr>
        <w:t xml:space="preserve"> </w:t>
      </w:r>
      <w:r w:rsidRPr="008E5E48">
        <w:rPr>
          <w:rFonts w:ascii="Arial" w:hAnsi="Arial" w:cs="Arial"/>
          <w:sz w:val="20"/>
          <w:szCs w:val="20"/>
        </w:rPr>
        <w:t xml:space="preserve">If the vehicle is moved, the system will alert the owner and the vehicle can be tracked via computer. </w:t>
      </w:r>
    </w:p>
    <w:p w:rsidR="00FE7B95" w:rsidRPr="008E5E48" w:rsidRDefault="00FE7B95" w:rsidP="00FE7B95">
      <w:pPr>
        <w:rPr>
          <w:rFonts w:ascii="Arial" w:hAnsi="Arial" w:cs="Arial"/>
          <w:sz w:val="20"/>
          <w:szCs w:val="20"/>
        </w:rPr>
      </w:pPr>
    </w:p>
    <w:p w:rsidR="00567A96" w:rsidRPr="008E5E48" w:rsidRDefault="00FE7B95" w:rsidP="00FE7B95">
      <w:pPr>
        <w:rPr>
          <w:rFonts w:ascii="Arial" w:hAnsi="Arial" w:cs="Arial"/>
          <w:sz w:val="20"/>
          <w:szCs w:val="20"/>
        </w:rPr>
      </w:pPr>
      <w:r w:rsidRPr="008E5E48">
        <w:rPr>
          <w:rFonts w:ascii="Arial" w:hAnsi="Arial" w:cs="Arial"/>
          <w:sz w:val="20"/>
          <w:szCs w:val="20"/>
        </w:rPr>
        <w:t xml:space="preserve">Anyone with information concerning vehicle theft can report it anonymously by calling toll-free </w:t>
      </w:r>
    </w:p>
    <w:p w:rsidR="00FE7B95" w:rsidRPr="008E5E48" w:rsidRDefault="00FE7B95" w:rsidP="00FE7B95">
      <w:pPr>
        <w:rPr>
          <w:rFonts w:ascii="Arial" w:hAnsi="Arial" w:cs="Arial"/>
          <w:sz w:val="20"/>
          <w:szCs w:val="20"/>
        </w:rPr>
      </w:pPr>
      <w:proofErr w:type="gramStart"/>
      <w:r w:rsidRPr="008E5E48">
        <w:rPr>
          <w:rFonts w:ascii="Arial" w:hAnsi="Arial" w:cs="Arial"/>
          <w:sz w:val="20"/>
          <w:szCs w:val="20"/>
        </w:rPr>
        <w:t xml:space="preserve">1-800-TEL-NICB (1-800-835-6422), texting keyword “fraud” to TIP411 (847411) or by visiting our </w:t>
      </w:r>
      <w:r w:rsidR="004A4F91" w:rsidRPr="008E5E48">
        <w:rPr>
          <w:rFonts w:ascii="Arial" w:hAnsi="Arial" w:cs="Arial"/>
          <w:sz w:val="20"/>
          <w:szCs w:val="20"/>
        </w:rPr>
        <w:t>website</w:t>
      </w:r>
      <w:r w:rsidRPr="008E5E48">
        <w:rPr>
          <w:rFonts w:ascii="Arial" w:hAnsi="Arial" w:cs="Arial"/>
          <w:sz w:val="20"/>
          <w:szCs w:val="20"/>
        </w:rPr>
        <w:t xml:space="preserve"> at </w:t>
      </w:r>
      <w:hyperlink r:id="rId12" w:history="1">
        <w:r w:rsidRPr="008E5E48">
          <w:rPr>
            <w:rStyle w:val="Hyperlink"/>
            <w:rFonts w:ascii="Arial" w:hAnsi="Arial" w:cs="Arial"/>
            <w:sz w:val="20"/>
            <w:szCs w:val="20"/>
          </w:rPr>
          <w:t>www.nicb.org</w:t>
        </w:r>
      </w:hyperlink>
      <w:r w:rsidRPr="008E5E48">
        <w:rPr>
          <w:rFonts w:ascii="Arial" w:hAnsi="Arial" w:cs="Arial"/>
          <w:sz w:val="20"/>
          <w:szCs w:val="20"/>
        </w:rPr>
        <w:t>.</w:t>
      </w:r>
      <w:proofErr w:type="gramEnd"/>
      <w:r w:rsidR="008E5E48" w:rsidRPr="008E5E48">
        <w:rPr>
          <w:rFonts w:ascii="Arial" w:hAnsi="Arial" w:cs="Arial"/>
          <w:sz w:val="20"/>
          <w:szCs w:val="20"/>
        </w:rPr>
        <w:t xml:space="preserve"> </w:t>
      </w:r>
      <w:r w:rsidR="004A4F91" w:rsidRPr="008E5E48">
        <w:rPr>
          <w:rFonts w:ascii="Arial" w:hAnsi="Arial" w:cs="Arial"/>
          <w:color w:val="333333"/>
          <w:sz w:val="20"/>
          <w:szCs w:val="20"/>
        </w:rPr>
        <w:t xml:space="preserve">Or, </w:t>
      </w:r>
      <w:proofErr w:type="spellStart"/>
      <w:r w:rsidR="004A4F91" w:rsidRPr="008E5E48">
        <w:rPr>
          <w:rFonts w:ascii="Arial" w:hAnsi="Arial" w:cs="Arial"/>
          <w:color w:val="333333"/>
          <w:sz w:val="20"/>
          <w:szCs w:val="20"/>
        </w:rPr>
        <w:t>iPhone</w:t>
      </w:r>
      <w:proofErr w:type="spellEnd"/>
      <w:r w:rsidR="004A4F91" w:rsidRPr="008E5E48">
        <w:rPr>
          <w:rFonts w:ascii="Arial" w:hAnsi="Arial" w:cs="Arial"/>
          <w:color w:val="333333"/>
          <w:sz w:val="20"/>
          <w:szCs w:val="20"/>
        </w:rPr>
        <w:t xml:space="preserve"> or </w:t>
      </w:r>
      <w:proofErr w:type="spellStart"/>
      <w:r w:rsidR="004A4F91" w:rsidRPr="008E5E48">
        <w:rPr>
          <w:rFonts w:ascii="Arial" w:hAnsi="Arial" w:cs="Arial"/>
          <w:color w:val="333333"/>
          <w:sz w:val="20"/>
          <w:szCs w:val="20"/>
        </w:rPr>
        <w:t>iPad</w:t>
      </w:r>
      <w:proofErr w:type="spellEnd"/>
      <w:r w:rsidR="004A4F91" w:rsidRPr="008E5E48">
        <w:rPr>
          <w:rFonts w:ascii="Arial" w:hAnsi="Arial" w:cs="Arial"/>
          <w:color w:val="333333"/>
          <w:sz w:val="20"/>
          <w:szCs w:val="20"/>
        </w:rPr>
        <w:t xml:space="preserve"> users can download the </w:t>
      </w:r>
      <w:hyperlink r:id="rId13" w:tgtFrame="_blank" w:history="1">
        <w:r w:rsidR="004A4F91" w:rsidRPr="008E5E48">
          <w:rPr>
            <w:rStyle w:val="Hyperlink"/>
            <w:rFonts w:ascii="Arial" w:hAnsi="Arial" w:cs="Arial"/>
            <w:sz w:val="20"/>
            <w:szCs w:val="20"/>
          </w:rPr>
          <w:t>NICB Fraud Tips app</w:t>
        </w:r>
      </w:hyperlink>
      <w:r w:rsidR="004A4F91" w:rsidRPr="008E5E48">
        <w:rPr>
          <w:rFonts w:ascii="Arial" w:hAnsi="Arial" w:cs="Arial"/>
          <w:color w:val="333333"/>
          <w:sz w:val="20"/>
          <w:szCs w:val="20"/>
        </w:rPr>
        <w:t xml:space="preserve"> to make it easy to quickly send a tip and get a response.</w:t>
      </w:r>
    </w:p>
    <w:p w:rsidR="00FE7B95" w:rsidRPr="008E5E48" w:rsidRDefault="00FE7B95" w:rsidP="00FE7B95">
      <w:pPr>
        <w:rPr>
          <w:rFonts w:ascii="Arial" w:hAnsi="Arial" w:cs="Arial"/>
          <w:sz w:val="20"/>
          <w:szCs w:val="20"/>
        </w:rPr>
      </w:pPr>
    </w:p>
    <w:p w:rsidR="008E5E48" w:rsidRPr="008E5E48" w:rsidRDefault="00FE7B95" w:rsidP="008E5E48">
      <w:pPr>
        <w:rPr>
          <w:rFonts w:ascii="Arial" w:hAnsi="Arial" w:cs="Arial"/>
          <w:sz w:val="20"/>
          <w:szCs w:val="20"/>
        </w:rPr>
      </w:pPr>
      <w:r w:rsidRPr="008E5E48">
        <w:rPr>
          <w:rFonts w:ascii="Arial" w:hAnsi="Arial" w:cs="Arial"/>
          <w:sz w:val="20"/>
          <w:szCs w:val="20"/>
        </w:rPr>
        <w:t>About the National Insurance Crime Bureau:  headquartered in Des Plaines, Ill., the NICB is the nation’s leading not-for-profit organization exclusively dedicated to preventing, detecting and defeating insurance fraud and vehicle theft through data analytics, investigations, training, legislative advocacy and public awareness. The NICB is supported by more than 1,100 property and casualty insurance companies and self-insured organizations.</w:t>
      </w:r>
      <w:r w:rsidR="008E5E48" w:rsidRPr="008E5E48">
        <w:rPr>
          <w:rFonts w:ascii="Arial" w:hAnsi="Arial" w:cs="Arial"/>
          <w:sz w:val="20"/>
          <w:szCs w:val="20"/>
        </w:rPr>
        <w:t xml:space="preserve"> </w:t>
      </w:r>
      <w:r w:rsidRPr="008E5E48">
        <w:rPr>
          <w:rFonts w:ascii="Arial" w:hAnsi="Arial" w:cs="Arial"/>
          <w:sz w:val="20"/>
          <w:szCs w:val="20"/>
        </w:rPr>
        <w:t>NICB member companies wrote over $339 billion in insurance premiums in 2011, or approximately 80 percent of the nation’s property/casualty insurance.</w:t>
      </w:r>
      <w:r w:rsidR="008E5E48" w:rsidRPr="008E5E48">
        <w:rPr>
          <w:rFonts w:ascii="Arial" w:hAnsi="Arial" w:cs="Arial"/>
          <w:sz w:val="20"/>
          <w:szCs w:val="20"/>
        </w:rPr>
        <w:t xml:space="preserve"> </w:t>
      </w:r>
      <w:r w:rsidRPr="008E5E48">
        <w:rPr>
          <w:rFonts w:ascii="Arial" w:hAnsi="Arial" w:cs="Arial"/>
          <w:sz w:val="20"/>
          <w:szCs w:val="20"/>
        </w:rPr>
        <w:t>That includes more than 94 percent ($156 billion) of the nation’s personal auto insurance.</w:t>
      </w:r>
      <w:r w:rsidR="008E5E48" w:rsidRPr="008E5E48">
        <w:rPr>
          <w:rFonts w:ascii="Arial" w:hAnsi="Arial" w:cs="Arial"/>
          <w:sz w:val="20"/>
          <w:szCs w:val="20"/>
        </w:rPr>
        <w:t xml:space="preserve"> </w:t>
      </w:r>
      <w:r w:rsidRPr="008E5E48">
        <w:rPr>
          <w:rFonts w:ascii="Arial" w:hAnsi="Arial" w:cs="Arial"/>
          <w:sz w:val="20"/>
          <w:szCs w:val="20"/>
        </w:rPr>
        <w:t xml:space="preserve">To learn more visit </w:t>
      </w:r>
      <w:hyperlink r:id="rId14" w:history="1">
        <w:r w:rsidRPr="008E5E48">
          <w:rPr>
            <w:rStyle w:val="Hyperlink"/>
            <w:rFonts w:ascii="Arial" w:hAnsi="Arial" w:cs="Arial"/>
            <w:sz w:val="20"/>
            <w:szCs w:val="20"/>
          </w:rPr>
          <w:t>www.nicb.org</w:t>
        </w:r>
      </w:hyperlink>
      <w:r w:rsidRPr="008E5E48">
        <w:rPr>
          <w:rFonts w:ascii="Arial" w:hAnsi="Arial" w:cs="Arial"/>
          <w:sz w:val="20"/>
          <w:szCs w:val="20"/>
        </w:rPr>
        <w:t>.</w:t>
      </w:r>
    </w:p>
    <w:p w:rsidR="008E5E48" w:rsidRDefault="008E5E48" w:rsidP="008E5E48">
      <w:pPr>
        <w:rPr>
          <w:rFonts w:ascii="Arial" w:hAnsi="Arial" w:cs="Arial"/>
          <w:sz w:val="20"/>
          <w:szCs w:val="20"/>
        </w:rPr>
      </w:pPr>
    </w:p>
    <w:p w:rsidR="008E5E48" w:rsidRDefault="008E5E48" w:rsidP="008E5E48">
      <w:pPr>
        <w:rPr>
          <w:rFonts w:ascii="Arial" w:hAnsi="Arial" w:cs="Arial"/>
          <w:sz w:val="20"/>
          <w:szCs w:val="20"/>
        </w:rPr>
      </w:pPr>
    </w:p>
    <w:p w:rsidR="00350C41" w:rsidRPr="008E5E48" w:rsidRDefault="00FE7B95" w:rsidP="008E5E48">
      <w:pPr>
        <w:jc w:val="center"/>
        <w:rPr>
          <w:rFonts w:ascii="Arial" w:hAnsi="Arial" w:cs="Arial"/>
          <w:sz w:val="20"/>
          <w:szCs w:val="20"/>
        </w:rPr>
      </w:pPr>
      <w:r w:rsidRPr="00FE7B95">
        <w:rPr>
          <w:rFonts w:ascii="Arial" w:hAnsi="Arial" w:cs="Arial"/>
          <w:sz w:val="20"/>
          <w:szCs w:val="20"/>
        </w:rPr>
        <w:t>###</w:t>
      </w:r>
    </w:p>
    <w:sectPr w:rsidR="00350C41" w:rsidRPr="008E5E48" w:rsidSect="008E5E48">
      <w:pgSz w:w="12240" w:h="15840"/>
      <w:pgMar w:top="1440" w:right="1800" w:bottom="108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97B62"/>
    <w:multiLevelType w:val="multilevel"/>
    <w:tmpl w:val="6B56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A67CB9"/>
    <w:multiLevelType w:val="hybridMultilevel"/>
    <w:tmpl w:val="F184E9D4"/>
    <w:lvl w:ilvl="0" w:tplc="8B025BB6">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BF80730"/>
    <w:multiLevelType w:val="multilevel"/>
    <w:tmpl w:val="C384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E62799"/>
    <w:multiLevelType w:val="multilevel"/>
    <w:tmpl w:val="B8A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7B95"/>
    <w:rsid w:val="000E464C"/>
    <w:rsid w:val="0015592E"/>
    <w:rsid w:val="00162D68"/>
    <w:rsid w:val="001D2CB9"/>
    <w:rsid w:val="001D7739"/>
    <w:rsid w:val="00224AB4"/>
    <w:rsid w:val="002D1325"/>
    <w:rsid w:val="002D4DE1"/>
    <w:rsid w:val="00331FA5"/>
    <w:rsid w:val="00350C41"/>
    <w:rsid w:val="003661A0"/>
    <w:rsid w:val="00383E5E"/>
    <w:rsid w:val="003C13E5"/>
    <w:rsid w:val="003E7586"/>
    <w:rsid w:val="004A4F91"/>
    <w:rsid w:val="0053157F"/>
    <w:rsid w:val="00567A96"/>
    <w:rsid w:val="006301FE"/>
    <w:rsid w:val="00706CB9"/>
    <w:rsid w:val="00810828"/>
    <w:rsid w:val="00853FB9"/>
    <w:rsid w:val="008A5504"/>
    <w:rsid w:val="008E5E48"/>
    <w:rsid w:val="00911765"/>
    <w:rsid w:val="00A034C0"/>
    <w:rsid w:val="00A732A0"/>
    <w:rsid w:val="00A87294"/>
    <w:rsid w:val="00AC2745"/>
    <w:rsid w:val="00AE68B0"/>
    <w:rsid w:val="00B33143"/>
    <w:rsid w:val="00C6553A"/>
    <w:rsid w:val="00CA0AC2"/>
    <w:rsid w:val="00D0263D"/>
    <w:rsid w:val="00D03F2A"/>
    <w:rsid w:val="00D206C0"/>
    <w:rsid w:val="00D52E9F"/>
    <w:rsid w:val="00E4277A"/>
    <w:rsid w:val="00E53CA6"/>
    <w:rsid w:val="00E55E4A"/>
    <w:rsid w:val="00EF7E74"/>
    <w:rsid w:val="00F37E07"/>
    <w:rsid w:val="00F70DE4"/>
    <w:rsid w:val="00FB7B9A"/>
    <w:rsid w:val="00FC570D"/>
    <w:rsid w:val="00FC5A3B"/>
    <w:rsid w:val="00FE7B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B95"/>
    <w:rPr>
      <w:rFonts w:ascii="Times New Roman" w:eastAsia="Times New Roman" w:hAnsi="Times New Roman"/>
      <w:sz w:val="24"/>
      <w:szCs w:val="24"/>
    </w:rPr>
  </w:style>
  <w:style w:type="paragraph" w:styleId="Heading1">
    <w:name w:val="heading 1"/>
    <w:basedOn w:val="Normal"/>
    <w:next w:val="Normal"/>
    <w:link w:val="Heading1Char"/>
    <w:uiPriority w:val="9"/>
    <w:qFormat/>
    <w:rsid w:val="00E53CA6"/>
    <w:p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E53CA6"/>
    <w:pPr>
      <w:spacing w:before="200"/>
      <w:outlineLvl w:val="1"/>
    </w:pPr>
    <w:rPr>
      <w:rFonts w:ascii="Cambria" w:hAnsi="Cambria"/>
      <w:b/>
      <w:bCs/>
      <w:sz w:val="26"/>
      <w:szCs w:val="26"/>
    </w:rPr>
  </w:style>
  <w:style w:type="paragraph" w:styleId="Heading3">
    <w:name w:val="heading 3"/>
    <w:basedOn w:val="Normal"/>
    <w:next w:val="Normal"/>
    <w:link w:val="Heading3Char"/>
    <w:unhideWhenUsed/>
    <w:qFormat/>
    <w:rsid w:val="00E53CA6"/>
    <w:pPr>
      <w:spacing w:before="20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E53CA6"/>
    <w:pPr>
      <w:spacing w:before="20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E53CA6"/>
    <w:pPr>
      <w:spacing w:before="20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E53CA6"/>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E53CA6"/>
    <w:pPr>
      <w:outlineLvl w:val="6"/>
    </w:pPr>
    <w:rPr>
      <w:rFonts w:ascii="Cambria" w:hAnsi="Cambria"/>
      <w:i/>
      <w:iCs/>
    </w:rPr>
  </w:style>
  <w:style w:type="paragraph" w:styleId="Heading8">
    <w:name w:val="heading 8"/>
    <w:basedOn w:val="Normal"/>
    <w:next w:val="Normal"/>
    <w:link w:val="Heading8Char"/>
    <w:uiPriority w:val="9"/>
    <w:semiHidden/>
    <w:unhideWhenUsed/>
    <w:qFormat/>
    <w:rsid w:val="00E53CA6"/>
    <w:pPr>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E53CA6"/>
    <w:p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CA6"/>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semiHidden/>
    <w:rsid w:val="00E53CA6"/>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E53CA6"/>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E53CA6"/>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E53CA6"/>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E53CA6"/>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E53CA6"/>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E53CA6"/>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E53CA6"/>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E53CA6"/>
    <w:pPr>
      <w:pBdr>
        <w:bottom w:val="single" w:sz="4" w:space="1" w:color="auto"/>
      </w:pBdr>
      <w:contextualSpacing/>
    </w:pPr>
    <w:rPr>
      <w:rFonts w:ascii="Cambria" w:hAnsi="Cambria"/>
      <w:spacing w:val="5"/>
      <w:sz w:val="52"/>
      <w:szCs w:val="52"/>
    </w:rPr>
  </w:style>
  <w:style w:type="character" w:customStyle="1" w:styleId="TitleChar">
    <w:name w:val="Title Char"/>
    <w:basedOn w:val="DefaultParagraphFont"/>
    <w:link w:val="Title"/>
    <w:uiPriority w:val="10"/>
    <w:rsid w:val="00E53CA6"/>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E53CA6"/>
    <w:pPr>
      <w:spacing w:after="600"/>
    </w:pPr>
    <w:rPr>
      <w:rFonts w:ascii="Cambria" w:hAnsi="Cambria"/>
      <w:i/>
      <w:iCs/>
      <w:spacing w:val="13"/>
    </w:rPr>
  </w:style>
  <w:style w:type="character" w:customStyle="1" w:styleId="SubtitleChar">
    <w:name w:val="Subtitle Char"/>
    <w:basedOn w:val="DefaultParagraphFont"/>
    <w:link w:val="Subtitle"/>
    <w:uiPriority w:val="11"/>
    <w:rsid w:val="00E53CA6"/>
    <w:rPr>
      <w:rFonts w:ascii="Cambria" w:eastAsia="Times New Roman" w:hAnsi="Cambria" w:cs="Times New Roman"/>
      <w:i/>
      <w:iCs/>
      <w:spacing w:val="13"/>
      <w:sz w:val="24"/>
      <w:szCs w:val="24"/>
    </w:rPr>
  </w:style>
  <w:style w:type="character" w:styleId="Strong">
    <w:name w:val="Strong"/>
    <w:uiPriority w:val="22"/>
    <w:qFormat/>
    <w:rsid w:val="00E53CA6"/>
    <w:rPr>
      <w:b/>
      <w:bCs/>
    </w:rPr>
  </w:style>
  <w:style w:type="character" w:styleId="Emphasis">
    <w:name w:val="Emphasis"/>
    <w:uiPriority w:val="20"/>
    <w:qFormat/>
    <w:rsid w:val="00E53CA6"/>
    <w:rPr>
      <w:b/>
      <w:bCs/>
      <w:i/>
      <w:iCs/>
      <w:spacing w:val="10"/>
      <w:bdr w:val="none" w:sz="0" w:space="0" w:color="auto"/>
      <w:shd w:val="clear" w:color="auto" w:fill="auto"/>
    </w:rPr>
  </w:style>
  <w:style w:type="paragraph" w:styleId="NoSpacing">
    <w:name w:val="No Spacing"/>
    <w:basedOn w:val="Normal"/>
    <w:uiPriority w:val="1"/>
    <w:qFormat/>
    <w:rsid w:val="00E53CA6"/>
  </w:style>
  <w:style w:type="paragraph" w:styleId="ListParagraph">
    <w:name w:val="List Paragraph"/>
    <w:basedOn w:val="Normal"/>
    <w:uiPriority w:val="34"/>
    <w:qFormat/>
    <w:rsid w:val="00E53CA6"/>
    <w:pPr>
      <w:ind w:left="720"/>
      <w:contextualSpacing/>
    </w:pPr>
  </w:style>
  <w:style w:type="paragraph" w:styleId="Quote">
    <w:name w:val="Quote"/>
    <w:basedOn w:val="Normal"/>
    <w:next w:val="Normal"/>
    <w:link w:val="QuoteChar"/>
    <w:uiPriority w:val="29"/>
    <w:qFormat/>
    <w:rsid w:val="00E53CA6"/>
    <w:pPr>
      <w:spacing w:before="200"/>
      <w:ind w:left="360" w:right="360"/>
    </w:pPr>
    <w:rPr>
      <w:i/>
      <w:iCs/>
    </w:rPr>
  </w:style>
  <w:style w:type="character" w:customStyle="1" w:styleId="QuoteChar">
    <w:name w:val="Quote Char"/>
    <w:basedOn w:val="DefaultParagraphFont"/>
    <w:link w:val="Quote"/>
    <w:uiPriority w:val="29"/>
    <w:rsid w:val="00E53CA6"/>
    <w:rPr>
      <w:i/>
      <w:iCs/>
    </w:rPr>
  </w:style>
  <w:style w:type="paragraph" w:styleId="IntenseQuote">
    <w:name w:val="Intense Quote"/>
    <w:basedOn w:val="Normal"/>
    <w:next w:val="Normal"/>
    <w:link w:val="IntenseQuoteChar"/>
    <w:uiPriority w:val="30"/>
    <w:qFormat/>
    <w:rsid w:val="00E53CA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53CA6"/>
    <w:rPr>
      <w:b/>
      <w:bCs/>
      <w:i/>
      <w:iCs/>
    </w:rPr>
  </w:style>
  <w:style w:type="character" w:styleId="SubtleEmphasis">
    <w:name w:val="Subtle Emphasis"/>
    <w:uiPriority w:val="19"/>
    <w:qFormat/>
    <w:rsid w:val="00E53CA6"/>
    <w:rPr>
      <w:i/>
      <w:iCs/>
    </w:rPr>
  </w:style>
  <w:style w:type="character" w:styleId="IntenseEmphasis">
    <w:name w:val="Intense Emphasis"/>
    <w:uiPriority w:val="21"/>
    <w:qFormat/>
    <w:rsid w:val="00E53CA6"/>
    <w:rPr>
      <w:b/>
      <w:bCs/>
    </w:rPr>
  </w:style>
  <w:style w:type="character" w:styleId="SubtleReference">
    <w:name w:val="Subtle Reference"/>
    <w:uiPriority w:val="31"/>
    <w:qFormat/>
    <w:rsid w:val="00E53CA6"/>
    <w:rPr>
      <w:smallCaps/>
    </w:rPr>
  </w:style>
  <w:style w:type="character" w:styleId="IntenseReference">
    <w:name w:val="Intense Reference"/>
    <w:uiPriority w:val="32"/>
    <w:qFormat/>
    <w:rsid w:val="00E53CA6"/>
    <w:rPr>
      <w:smallCaps/>
      <w:spacing w:val="5"/>
      <w:u w:val="single"/>
    </w:rPr>
  </w:style>
  <w:style w:type="character" w:styleId="BookTitle">
    <w:name w:val="Book Title"/>
    <w:uiPriority w:val="33"/>
    <w:qFormat/>
    <w:rsid w:val="00E53CA6"/>
    <w:rPr>
      <w:i/>
      <w:iCs/>
      <w:smallCaps/>
      <w:spacing w:val="5"/>
    </w:rPr>
  </w:style>
  <w:style w:type="paragraph" w:styleId="TOCHeading">
    <w:name w:val="TOC Heading"/>
    <w:basedOn w:val="Heading1"/>
    <w:next w:val="Normal"/>
    <w:uiPriority w:val="39"/>
    <w:semiHidden/>
    <w:unhideWhenUsed/>
    <w:qFormat/>
    <w:rsid w:val="00E53CA6"/>
    <w:pPr>
      <w:outlineLvl w:val="9"/>
    </w:pPr>
  </w:style>
  <w:style w:type="paragraph" w:styleId="EnvelopeAddress">
    <w:name w:val="envelope address"/>
    <w:basedOn w:val="Normal"/>
    <w:uiPriority w:val="99"/>
    <w:semiHidden/>
    <w:unhideWhenUsed/>
    <w:rsid w:val="00A87294"/>
    <w:pPr>
      <w:framePr w:w="7920" w:h="1980" w:hRule="exact" w:hSpace="180" w:wrap="auto" w:hAnchor="page" w:xAlign="center" w:yAlign="bottom"/>
      <w:ind w:left="2880"/>
    </w:pPr>
  </w:style>
  <w:style w:type="paragraph" w:styleId="EnvelopeReturn">
    <w:name w:val="envelope return"/>
    <w:basedOn w:val="Normal"/>
    <w:uiPriority w:val="99"/>
    <w:semiHidden/>
    <w:unhideWhenUsed/>
    <w:rsid w:val="00A87294"/>
    <w:rPr>
      <w:sz w:val="20"/>
      <w:szCs w:val="20"/>
    </w:rPr>
  </w:style>
  <w:style w:type="character" w:styleId="Hyperlink">
    <w:name w:val="Hyperlink"/>
    <w:basedOn w:val="DefaultParagraphFont"/>
    <w:rsid w:val="00FE7B95"/>
    <w:rPr>
      <w:color w:val="0000FF"/>
      <w:u w:val="single"/>
    </w:rPr>
  </w:style>
  <w:style w:type="paragraph" w:styleId="BalloonText">
    <w:name w:val="Balloon Text"/>
    <w:basedOn w:val="Normal"/>
    <w:link w:val="BalloonTextChar"/>
    <w:uiPriority w:val="99"/>
    <w:semiHidden/>
    <w:unhideWhenUsed/>
    <w:rsid w:val="00FE7B95"/>
    <w:rPr>
      <w:rFonts w:ascii="Tahoma" w:hAnsi="Tahoma" w:cs="Tahoma"/>
      <w:sz w:val="16"/>
      <w:szCs w:val="16"/>
    </w:rPr>
  </w:style>
  <w:style w:type="character" w:customStyle="1" w:styleId="BalloonTextChar">
    <w:name w:val="Balloon Text Char"/>
    <w:basedOn w:val="DefaultParagraphFont"/>
    <w:link w:val="BalloonText"/>
    <w:uiPriority w:val="99"/>
    <w:semiHidden/>
    <w:rsid w:val="00FE7B95"/>
    <w:rPr>
      <w:rFonts w:ascii="Tahoma" w:eastAsia="Times New Roman" w:hAnsi="Tahoma" w:cs="Tahoma"/>
      <w:sz w:val="16"/>
      <w:szCs w:val="16"/>
      <w:lang w:bidi="ar-SA"/>
    </w:rPr>
  </w:style>
  <w:style w:type="character" w:styleId="CommentReference">
    <w:name w:val="annotation reference"/>
    <w:basedOn w:val="DefaultParagraphFont"/>
    <w:uiPriority w:val="99"/>
    <w:semiHidden/>
    <w:unhideWhenUsed/>
    <w:rsid w:val="004A4F91"/>
    <w:rPr>
      <w:sz w:val="16"/>
      <w:szCs w:val="16"/>
    </w:rPr>
  </w:style>
  <w:style w:type="paragraph" w:styleId="CommentText">
    <w:name w:val="annotation text"/>
    <w:basedOn w:val="Normal"/>
    <w:link w:val="CommentTextChar"/>
    <w:uiPriority w:val="99"/>
    <w:semiHidden/>
    <w:unhideWhenUsed/>
    <w:rsid w:val="004A4F91"/>
    <w:rPr>
      <w:sz w:val="20"/>
      <w:szCs w:val="20"/>
    </w:rPr>
  </w:style>
  <w:style w:type="character" w:customStyle="1" w:styleId="CommentTextChar">
    <w:name w:val="Comment Text Char"/>
    <w:basedOn w:val="DefaultParagraphFont"/>
    <w:link w:val="CommentText"/>
    <w:uiPriority w:val="99"/>
    <w:semiHidden/>
    <w:rsid w:val="004A4F9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A4F91"/>
    <w:rPr>
      <w:b/>
      <w:bCs/>
    </w:rPr>
  </w:style>
  <w:style w:type="character" w:customStyle="1" w:styleId="CommentSubjectChar">
    <w:name w:val="Comment Subject Char"/>
    <w:basedOn w:val="CommentTextChar"/>
    <w:link w:val="CommentSubject"/>
    <w:uiPriority w:val="99"/>
    <w:semiHidden/>
    <w:rsid w:val="004A4F91"/>
    <w:rPr>
      <w:b/>
      <w:bCs/>
    </w:rPr>
  </w:style>
  <w:style w:type="table" w:styleId="TableGrid">
    <w:name w:val="Table Grid"/>
    <w:basedOn w:val="TableNormal"/>
    <w:uiPriority w:val="59"/>
    <w:rsid w:val="008E5E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52E9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scafidi@nicb.org" TargetMode="External"/><Relationship Id="rId13" Type="http://schemas.openxmlformats.org/officeDocument/2006/relationships/hyperlink" Target="http://itunes.apple.com/us/app/nicb-fraud-tips/id492578733?mt=8" TargetMode="External"/><Relationship Id="rId3" Type="http://schemas.openxmlformats.org/officeDocument/2006/relationships/styles" Target="styles.xml"/><Relationship Id="rId7" Type="http://schemas.openxmlformats.org/officeDocument/2006/relationships/hyperlink" Target="http://www.nicb.org" TargetMode="External"/><Relationship Id="rId12" Type="http://schemas.openxmlformats.org/officeDocument/2006/relationships/hyperlink" Target="http://www.nicb.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nicb.org/File%20Library/Theft%20and%20Fraud%20Prevention/Fact%20Sheets/Public/layeredanti-theftdevicespublic.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icb.org" TargetMode="External"/><Relationship Id="rId4" Type="http://schemas.openxmlformats.org/officeDocument/2006/relationships/settings" Target="settings.xml"/><Relationship Id="rId9" Type="http://schemas.openxmlformats.org/officeDocument/2006/relationships/hyperlink" Target="http://www.youtube.com/watch?v=D4UPffwRRS4" TargetMode="External"/><Relationship Id="rId14" Type="http://schemas.openxmlformats.org/officeDocument/2006/relationships/hyperlink" Target="http://www.nic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8486C-C239-47F1-997F-73CC74C7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NICB</Company>
  <LinksUpToDate>false</LinksUpToDate>
  <CharactersWithSpaces>5420</CharactersWithSpaces>
  <SharedDoc>false</SharedDoc>
  <HLinks>
    <vt:vector size="66" baseType="variant">
      <vt:variant>
        <vt:i4>4063348</vt:i4>
      </vt:variant>
      <vt:variant>
        <vt:i4>30</vt:i4>
      </vt:variant>
      <vt:variant>
        <vt:i4>0</vt:i4>
      </vt:variant>
      <vt:variant>
        <vt:i4>5</vt:i4>
      </vt:variant>
      <vt:variant>
        <vt:lpwstr>http://www.linkedin.com/groups?gid=4040012</vt:lpwstr>
      </vt:variant>
      <vt:variant>
        <vt:lpwstr/>
      </vt:variant>
      <vt:variant>
        <vt:i4>7340090</vt:i4>
      </vt:variant>
      <vt:variant>
        <vt:i4>27</vt:i4>
      </vt:variant>
      <vt:variant>
        <vt:i4>0</vt:i4>
      </vt:variant>
      <vt:variant>
        <vt:i4>5</vt:i4>
      </vt:variant>
      <vt:variant>
        <vt:lpwstr>http://www.youtube.com/user/InsuranceCrime</vt:lpwstr>
      </vt:variant>
      <vt:variant>
        <vt:lpwstr/>
      </vt:variant>
      <vt:variant>
        <vt:i4>5767256</vt:i4>
      </vt:variant>
      <vt:variant>
        <vt:i4>24</vt:i4>
      </vt:variant>
      <vt:variant>
        <vt:i4>0</vt:i4>
      </vt:variant>
      <vt:variant>
        <vt:i4>5</vt:i4>
      </vt:variant>
      <vt:variant>
        <vt:lpwstr>http://www.nicbblog.org/</vt:lpwstr>
      </vt:variant>
      <vt:variant>
        <vt:lpwstr/>
      </vt:variant>
      <vt:variant>
        <vt:i4>6750323</vt:i4>
      </vt:variant>
      <vt:variant>
        <vt:i4>21</vt:i4>
      </vt:variant>
      <vt:variant>
        <vt:i4>0</vt:i4>
      </vt:variant>
      <vt:variant>
        <vt:i4>5</vt:i4>
      </vt:variant>
      <vt:variant>
        <vt:lpwstr>http://twitter.com/</vt:lpwstr>
      </vt:variant>
      <vt:variant>
        <vt:lpwstr>!/insurancecrime</vt:lpwstr>
      </vt:variant>
      <vt:variant>
        <vt:i4>3735667</vt:i4>
      </vt:variant>
      <vt:variant>
        <vt:i4>18</vt:i4>
      </vt:variant>
      <vt:variant>
        <vt:i4>0</vt:i4>
      </vt:variant>
      <vt:variant>
        <vt:i4>5</vt:i4>
      </vt:variant>
      <vt:variant>
        <vt:lpwstr>http://www.facebook.com/?ref=home</vt:lpwstr>
      </vt:variant>
      <vt:variant>
        <vt:lpwstr>!/pages/National-Insurance-Crime-Bureau/230621820309256</vt:lpwstr>
      </vt:variant>
      <vt:variant>
        <vt:i4>5570643</vt:i4>
      </vt:variant>
      <vt:variant>
        <vt:i4>15</vt:i4>
      </vt:variant>
      <vt:variant>
        <vt:i4>0</vt:i4>
      </vt:variant>
      <vt:variant>
        <vt:i4>5</vt:i4>
      </vt:variant>
      <vt:variant>
        <vt:lpwstr>http://www.nicb.org/</vt:lpwstr>
      </vt:variant>
      <vt:variant>
        <vt:lpwstr/>
      </vt:variant>
      <vt:variant>
        <vt:i4>5570643</vt:i4>
      </vt:variant>
      <vt:variant>
        <vt:i4>12</vt:i4>
      </vt:variant>
      <vt:variant>
        <vt:i4>0</vt:i4>
      </vt:variant>
      <vt:variant>
        <vt:i4>5</vt:i4>
      </vt:variant>
      <vt:variant>
        <vt:lpwstr>http://www.nicb.org/</vt:lpwstr>
      </vt:variant>
      <vt:variant>
        <vt:lpwstr/>
      </vt:variant>
      <vt:variant>
        <vt:i4>5570643</vt:i4>
      </vt:variant>
      <vt:variant>
        <vt:i4>9</vt:i4>
      </vt:variant>
      <vt:variant>
        <vt:i4>0</vt:i4>
      </vt:variant>
      <vt:variant>
        <vt:i4>5</vt:i4>
      </vt:variant>
      <vt:variant>
        <vt:lpwstr>http://www.nicb.org/</vt:lpwstr>
      </vt:variant>
      <vt:variant>
        <vt:lpwstr/>
      </vt:variant>
      <vt:variant>
        <vt:i4>1245185</vt:i4>
      </vt:variant>
      <vt:variant>
        <vt:i4>6</vt:i4>
      </vt:variant>
      <vt:variant>
        <vt:i4>0</vt:i4>
      </vt:variant>
      <vt:variant>
        <vt:i4>5</vt:i4>
      </vt:variant>
      <vt:variant>
        <vt:lpwstr>https://www.nicb.org/newsroom/nicb_campaigns/hot_spots/hot-spots-2010</vt:lpwstr>
      </vt:variant>
      <vt:variant>
        <vt:lpwstr/>
      </vt:variant>
      <vt:variant>
        <vt:i4>2490377</vt:i4>
      </vt:variant>
      <vt:variant>
        <vt:i4>3</vt:i4>
      </vt:variant>
      <vt:variant>
        <vt:i4>0</vt:i4>
      </vt:variant>
      <vt:variant>
        <vt:i4>5</vt:i4>
      </vt:variant>
      <vt:variant>
        <vt:lpwstr>mailto:fscafidi@nicb.org</vt:lpwstr>
      </vt:variant>
      <vt:variant>
        <vt:lpwstr/>
      </vt:variant>
      <vt:variant>
        <vt:i4>5570643</vt:i4>
      </vt:variant>
      <vt:variant>
        <vt:i4>0</vt:i4>
      </vt:variant>
      <vt:variant>
        <vt:i4>0</vt:i4>
      </vt:variant>
      <vt:variant>
        <vt:i4>5</vt:i4>
      </vt:variant>
      <vt:variant>
        <vt:lpwstr>http://www.nicb.org/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SCAFIDIF</dc:creator>
  <cp:lastModifiedBy>curtism</cp:lastModifiedBy>
  <cp:revision>2</cp:revision>
  <dcterms:created xsi:type="dcterms:W3CDTF">2012-06-18T15:24:00Z</dcterms:created>
  <dcterms:modified xsi:type="dcterms:W3CDTF">2012-06-18T15:24:00Z</dcterms:modified>
</cp:coreProperties>
</file>