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spacing ns0:before="1800"/>
        <ns0:jc ns0:val="center"/>
      </ns0:pPr>
      <ns0:r>
        <ns0:rPr>
          <ns0:rFonts ns0:ascii="Calibri" ns0:hAnsi="Calibri"/>
          <ns0:b/>
          <ns0:i ns0:val="0"/>
          <ns0:color ns0:val="2E74B5"/>
          <ns0:sz ns0:val="24"/>
        </ns0:rPr>
        <ns0:t>TRABAJO FIN DE MÁSTER</ns0:t>
      </ns0:r>
    </ns0:p>
    <ns0:p>
      <ns0:pPr>
        <ns0:spacing ns0:before="240" ns0:after="240"/>
        <ns0:jc ns0:val="center"/>
      </ns0:pPr>
      <ns0:r>
        <ns0:rPr>
          <ns0:rFonts ns0:ascii="Calibri" ns0:hAnsi="Calibri"/>
          <ns0:b/>
          <ns0:i ns0:val="0"/>
          <ns0:color ns0:val="1F4D78"/>
          <ns0:sz ns0:val="50"/>
        </ns0:rPr>
        <ns0:t xml:space="preserve">Documento definitivo de requisitos</ns0:t>
      </ns0:r>
    </ns0:p>
    <ns0:p>
      <ns0:pPr>
        <ns0:spacing ns0:after="560"/>
        <ns0:jc ns0:val="center"/>
      </ns0:pPr>
      <ns0:r>
        <ns0:rPr>
          <ns0:rFonts ns0:ascii="Calibri" ns0:hAnsi="Calibri"/>
          <ns0:b ns0:val="0"/>
          <ns0:i ns0:val="0"/>
          <ns0:color ns0:val="444444"/>
          <ns0:sz ns0:val="28"/>
        </ns0:rPr>
        <ns0:t>Servicio inteligente de validación de tickets y facturas de gasto</ns0:t>
      </ns0:r>
    </ns0:p>
    <ns0:tbl>
      <ns0:tblPr>
        <ns0:tblStyle ns0:val="TableGrid"/>
        <ns0:tblW ns0:type="auto" ns0:w="0"/>
        <ns0:jc ns0:val="left"/>
        <ns0:tblLayout ns0:type="fixed"/>
        <ns0:tblLook ns0:firstColumn="1" ns0:firstRow="1" ns0:lastColumn="0" ns0:lastRow="0" ns0:noHBand="0" ns0:noVBand="1" ns0:val="04A0"/>
        <ns0:tblInd ns0:w="120" ns0:type="dxa"/>
      </ns0:tblPr>
      <ns0:tblGrid>
        <ns0:gridCol ns0:w="4680"/>
        <ns0:gridCol ns0:w="4680"/>
      </ns0:tblGrid>
      <ns0:tr>
        <ns0:tc>
          <ns0:tcPr>
            <ns0:tcW ns0:type="dxa" ns0:w="2500"/>
            <ns0:shd ns0:fill="E8EEF5"/>
            <ns0:tcMar>
              <ns0:top ns0:w="80" ns0:type="dxa"/>
              <ns0:start ns0:w="120" ns0:type="dxa"/>
              <ns0:bottom ns0:w="80" ns0:type="dxa"/>
              <ns0:end ns0:w="120" ns0:type="dxa"/>
            </ns0:tcMar>
            <ns0:vAlign ns0:val="center"/>
          </ns0:tcPr>
          <ns0:p>
            <ns0:pPr>
              <ns0:spacing ns0:after="0"/>
            </ns0:pPr>
            <ns0:r>
              <ns0:rPr>
                <ns0:rFonts ns0:ascii="Calibri" ns0:hAnsi="Calibri"/>
                <ns0:b/>
                <ns0:i ns0:val="0"/>
                <ns0:color ns0:val="1F4D78"/>
                <ns0:sz ns0:val="20"/>
              </ns0:rPr>
              <ns0:t>Campo</ns0:t>
            </ns0:r>
          </ns0:p>
        </ns0:tc>
        <ns0:tc>
          <ns0:tcPr>
            <ns0:tcW ns0:type="dxa" ns0:w="6860"/>
            <ns0:shd ns0:fill="E8EEF5"/>
            <ns0:tcMar>
              <ns0:top ns0:w="80" ns0:type="dxa"/>
              <ns0:start ns0:w="120" ns0:type="dxa"/>
              <ns0:bottom ns0:w="80" ns0:type="dxa"/>
              <ns0:end ns0:w="120" ns0:type="dxa"/>
            </ns0:tcMar>
            <ns0:vAlign ns0:val="center"/>
          </ns0:tcPr>
          <ns0:p>
            <ns0:pPr>
              <ns0:spacing ns0:after="0"/>
            </ns0:pPr>
            <ns0:r>
              <ns0:rPr>
                <ns0:rFonts ns0:ascii="Calibri" ns0:hAnsi="Calibri"/>
                <ns0:b/>
                <ns0:i ns0:val="0"/>
                <ns0:color ns0:val="1F4D78"/>
                <ns0:sz ns0:val="20"/>
              </ns0:rPr>
              <ns0:t>Valor</ns0:t>
            </ns0:r>
          </ns0:p>
        </ns0:tc>
      </ns0:tr>
      <ns0:t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Versión</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Versión definitiva 1.1</ns0:t>
            </ns0:r>
          </ns0:p>
        </ns0:tc>
      </ns0:tr>
      <ns0:t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Estado</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MVP validado: Docker y despliegue público en Render operativos</ns0:t>
            </ns0:r>
          </ns0:p>
        </ns0:tc>
      </ns0:tr>
      <ns0:t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Tecnologías núcleo</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C#, ASP.NET Core, Tesseract OCR, OpenAI GPT-4.1, xUnit</ns0:t>
            </ns0:r>
          </ns0:p>
        </ns0:tc>
      </ns0:tr>
      <ns0:t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Fecha</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19 de agosto de 2026</ns0:t>
            </ns0:r>
          </ns0:p>
        </ns0:tc>
      </ns0:tr>
    </ns0:tbl>
    <ns0:p>
      <ns0:pPr>
        <ns0:spacing ns0:after="40"/>
      </ns0:pPr>
    </ns0:p>
    <ns0:p>
      <ns0:pPr>
        <ns0:spacing ns0:after="120" ns0:line="264" ns0:lineRule="auto"/>
      </ns0:pPr>
      <ns0:r>
        <ns0:rPr>
          <ns0:rFonts ns0:ascii="Calibri" ns0:hAnsi="Calibri"/>
          <ns0:b ns0:val="0"/>
          <ns0:i ns0:val="0"/>
          <ns0:sz ns0:val="22"/>
        </ns0:rPr>
        <ns0:t xml:space="preserve">Propósito. Definir de forma verificable el alcance, comportamiento y límites de la versión final del MVP, sincronizada con su implementación, pruebas y despliegue.</ns0:t>
      </ns0:r>
    </ns0:p>
    <ns0:p>
      <ns0:r>
        <ns0:br ns0:type="page"/>
      </ns0:r>
    </ns0:p>
    <ns0:p>
      <ns0:pPr>
        <ns0:pStyle ns0:val="Heading1"/>
        <ns0:keepNext/>
      </ns0:pPr>
      <ns0:r>
        <ns0:rPr>
          <ns0:rFonts ns0:ascii="Calibri" ns0:hAnsi="Calibri"/>
          <ns0:b/>
          <ns0:i ns0:val="0"/>
          <ns0:color ns0:val="2E74B5"/>
          <ns0:sz ns0:val="32"/>
        </ns0:rPr>
        <ns0:t>1. Propósito y contexto</ns0:t>
      </ns0:r>
    </ns0:p>
    <ns0:p>
      <ns0:pPr>
        <ns0:spacing ns0:after="120" ns0:line="264" ns0:lineRule="auto"/>
      </ns0:pPr>
      <ns0:r>
        <ns0:rPr>
          <ns0:rFonts ns0:ascii="Calibri" ns0:hAnsi="Calibri"/>
          <ns0:b ns0:val="0"/>
          <ns0:i ns0:val="0"/>
          <ns0:sz ns0:val="22"/>
        </ns0:rPr>
        <ns0:t xml:space="preserve">Este documento fija los requisitos definitivos de un servicio web REST que analiza imágenes de tickets y facturas de gasto. Recibe una imagen y un tipo de gasto, combina IA visual y OCR como evidencias complementarias y aplica reglas de negocio deterministas para devolver una decisión explicable.</ns0:t>
      </ns0:r>
    </ns0:p>
    <ns0:p>
      <ns0:pPr>
        <ns0:spacing ns0:after="120" ns0:line="264" ns0:lineRule="auto"/>
      </ns0:pPr>
      <ns0:r>
        <ns0:rPr>
          <ns0:rFonts ns0:ascii="Calibri" ns0:hAnsi="Calibri"/>
          <ns0:b ns0:val="0"/>
          <ns0:i ns0:val="0"/>
          <ns0:sz ns0:val="22"/>
        </ns0:rPr>
        <ns0:t xml:space="preserve">Política de evidencia final. La IA visual es la fuente estructurada principal: tipo documental, emisor, establecimiento, CIF/NIF, dirección, número, fecha, hora, total, IVA, productos e indicios de manipulación. El OCR aporta legibilidad, RawText, fecha, total, corroboración independiente y diagnóstico. El motor de reglas, ejecutado en código, toma siempre la decisión final.</ns0:t>
      </ns0:r>
    </ns0:p>
    <ns0:p>
      <ns0:pPr>
        <ns0:spacing ns0:after="120" ns0:line="264" ns0:lineRule="auto"/>
      </ns0:pPr>
      <ns0:r>
        <ns0:rPr>
          <ns0:rFonts ns0:ascii="Calibri" ns0:hAnsi="Calibri"/>
          <ns0:b ns0:val="0"/>
          <ns0:i ns0:val="0"/>
          <ns0:sz ns0:val="22"/>
        </ns0:rPr>
        <ns0:t>Alineación con el TFM. La guía de requisitos del Máster aportada solicita una aplicación real, adaptada al nivel del alumno, además de README técnico, código en GitHub, publicación cuando sea posible, diapositivas y vídeo. Este documento delimita la aplicación que servirá de base para dichos entregables [R1].</ns0:t>
      </ns0:r>
    </ns0:p>
    <ns0:p>
      <ns0:pPr>
        <ns0:pStyle ns0:val="Heading1"/>
        <ns0:keepNext/>
      </ns0:pPr>
      <ns0:r>
        <ns0:rPr>
          <ns0:rFonts ns0:ascii="Calibri" ns0:hAnsi="Calibri"/>
          <ns0:b/>
          <ns0:i ns0:val="0"/>
          <ns0:color ns0:val="2E74B5"/>
          <ns0:sz ns0:val="32"/>
        </ns0:rPr>
        <ns0:t>2. Objetivo</ns0:t>
      </ns0:r>
    </ns0:p>
    <ns0:p>
      <ns0:pPr>
        <ns0:spacing ns0:after="120" ns0:line="264" ns0:lineRule="auto"/>
      </ns0:pPr>
      <ns0:r>
        <ns0:rPr>
          <ns0:rFonts ns0:ascii="Calibri" ns0:hAnsi="Calibri"/>
          <ns0:b ns0:val="0"/>
          <ns0:i ns0:val="0"/>
          <ns0:sz ns0:val="22"/>
        </ns0:rPr>
        <ns0:t>Desarrollar un servicio capaz de analizar tickets y facturas de gasto en JPEG o PNG, comprobar la información crítica disponible y emitir un resultado estructurado: aprobado, rechazado, pendiente de revisión, ilegible o error de procesamiento.</ns0:t>
      </ns0:r>
    </ns0:p>
    <ns0:p>
      <ns0:pPr>
        <ns0:pStyle ns0:val="Heading2"/>
        <ns0:keepNext/>
      </ns0:pPr>
      <ns0:r>
        <ns0:rPr>
          <ns0:rFonts ns0:ascii="Calibri" ns0:hAnsi="Calibri"/>
          <ns0:b/>
          <ns0:i ns0:val="0"/>
          <ns0:color ns0:val="2E74B5"/>
          <ns0:sz ns0:val="26"/>
        </ns0:rPr>
        <ns0:t>2.1 Objetivos específicos</ns0:t>
      </ns0:r>
    </ns0:p>
    <ns0:p>
      <ns0:pPr>
        <ns0:pStyle ns0:val="ListBullet"/>
        <ns0:spacing ns0:after="80" ns0:line="280" ns0:lineRule="auto"/>
      </ns0:pPr>
      <ns0:r>
        <ns0:rPr>
          <ns0:rFonts ns0:ascii="Calibri" ns0:hAnsi="Calibri"/>
          <ns0:b ns0:val="0"/>
          <ns0:i ns0:val="0"/>
          <ns0:sz ns0:val="22"/>
        </ns0:rPr>
        <ns0:t>Exponer una API REST documentada mediante OpenAPI y Swagger UI.</ns0:t>
      </ns0:r>
    </ns0:p>
    <ns0:p>
      <ns0:pPr>
        <ns0:pStyle ns0:val="ListBullet"/>
        <ns0:spacing ns0:after="80" ns0:line="280" ns0:lineRule="auto"/>
      </ns0:pPr>
      <ns0:r>
        <ns0:rPr>
          <ns0:rFonts ns0:ascii="Calibri" ns0:hAnsi="Calibri"/>
          <ns0:b ns0:val="0"/>
          <ns0:i ns0:val="0"/>
          <ns0:sz ns0:val="22"/>
        </ns0:rPr>
        <ns0:t>Extraer RawText y evidencia OCR con Tesseract después de corregir orientación mediante OSD y, cuando falte evidencia crítica, mediante el fallback 0/90/180/270.</ns0:t>
      </ns0:r>
    </ns0:p>
    <ns0:p>
      <ns0:pPr>
        <ns0:pStyle ns0:val="ListBullet"/>
        <ns0:spacing ns0:after="80" ns0:line="280" ns0:lineRule="auto"/>
      </ns0:pPr>
      <ns0:r>
        <ns0:rPr>
          <ns0:rFonts ns0:ascii="Calibri" ns0:hAnsi="Calibri"/>
          <ns0:b ns0:val="0"/>
          <ns0:i ns0:val="0"/>
          <ns0:sz ns0:val="22"/>
        </ns0:rPr>
        <ns0:t xml:space="preserve">Usar GPT-4.1 para lectura visual principal de estructura, metadatos, productos e indicios de manipulación directamente sobre la imagen seleccionada.</ns0:t>
      </ns0:r>
    </ns0:p>
    <ns0:p>
      <ns0:pPr>
        <ns0:pStyle ns0:val="ListBullet"/>
        <ns0:spacing ns0:after="80" ns0:line="280" ns0:lineRule="auto"/>
      </ns0:pPr>
      <ns0:r>
        <ns0:rPr>
          <ns0:rFonts ns0:ascii="Calibri" ns0:hAnsi="Calibri"/>
          <ns0:b ns0:val="0"/>
          <ns0:i ns0:val="0"/>
          <ns0:sz ns0:val="22"/>
        </ns0:rPr>
        <ns0:t>Corroborar obligatoriamente fecha y total comparando la lectura visual con el OCR; tratar las ausencias y discrepancias con las reglas de evidencia definidas.</ns0:t>
      </ns0:r>
    </ns0:p>
    <ns0:p>
      <ns0:pPr>
        <ns0:pStyle ns0:val="ListBullet"/>
        <ns0:spacing ns0:after="80" ns0:line="280" ns0:lineRule="auto"/>
      </ns0:pPr>
      <ns0:r>
        <ns0:rPr>
          <ns0:rFonts ns0:ascii="Calibri" ns0:hAnsi="Calibri"/>
          <ns0:b ns0:val="0"/>
          <ns0:i ns0:val="0"/>
          <ns0:sz ns0:val="22"/>
        </ns0:rPr>
        <ns0:t>Aplicar las reglas mediante código testeable y devolver un motivo trazable.</ns0:t>
      </ns0:r>
    </ns0:p>
    <ns0:p>
      <ns0:pPr>
        <ns0:pStyle ns0:val="ListBullet"/>
        <ns0:spacing ns0:after="80" ns0:line="280" ns0:lineRule="auto"/>
      </ns0:pPr>
      <ns0:r>
        <ns0:rPr>
          <ns0:rFonts ns0:ascii="Calibri" ns0:hAnsi="Calibri"/>
          <ns0:b ns0:val="0"/>
          <ns0:i ns0:val="0"/>
          <ns0:sz ns0:val="22"/>
        </ns0:rPr>
        <ns0:t>Registrar información técnica y de auditoría en ficheros, sin construir una plataforma de gestión de gastos.</ns0:t>
      </ns0:r>
    </ns0:p>
    <ns0:p>
      <ns0:pPr>
        <ns0:pStyle ns0:val="Heading1"/>
        <ns0:keepNext/>
      </ns0:pPr>
      <ns0:r>
        <ns0:rPr>
          <ns0:rFonts ns0:ascii="Calibri" ns0:hAnsi="Calibri"/>
          <ns0:b/>
          <ns0:i ns0:val="0"/>
          <ns0:color ns0:val="2E74B5"/>
          <ns0:sz ns0:val="32"/>
        </ns0:rPr>
        <ns0:t>3. Motivación</ns0:t>
      </ns0:r>
    </ns0:p>
    <ns0:p>
      <ns0:pPr>
        <ns0:spacing ns0:after="120" ns0:line="264" ns0:lineRule="auto"/>
      </ns0:pPr>
      <ns0:r>
        <ns0:rPr>
          <ns0:rFonts ns0:ascii="Calibri" ns0:hAnsi="Calibri"/>
          <ns0:b ns0:val="0"/>
          <ns0:i ns0:val="0"/>
          <ns0:sz ns0:val="22"/>
        </ns0:rPr>
        <ns0:t>La revisión final deriva de pruebas reales con tickets: Tesseract puede perder información por escala efectiva, impresión térmica, distancia, brillo, contraste u orientación. La IA visual puede recuperar estructura, fecha y total en casos donde el OCR se degrada. Por ello, la IA visual es la fuente principal; el OCR se conserva para RawText, legibilidad y corroboración. Las discrepancias no se silencian: se devuelven para revisión.</ns0:t>
      </ns0:r>
    </ns0:p>
    <ns0:p>
      <ns0:pPr>
        <ns0:pStyle ns0:val="Heading1"/>
        <ns0:keepNext/>
      </ns0:pPr>
      <ns0:r>
        <ns0:rPr>
          <ns0:rFonts ns0:ascii="Calibri" ns0:hAnsi="Calibri"/>
          <ns0:b/>
          <ns0:i ns0:val="0"/>
          <ns0:color ns0:val="2E74B5"/>
          <ns0:sz ns0:val="32"/>
        </ns0:rPr>
        <ns0:t>4. Alcance del MVP</ns0:t>
      </ns0:r>
    </ns0:p>
    <ns0:p>
      <ns0:pPr>
        <ns0:pStyle ns0:val="ListBullet"/>
        <ns0:spacing ns0:after="80" ns0:line="280" ns0:lineRule="auto"/>
      </ns0:pPr>
      <ns0:r>
        <ns0:rPr>
          <ns0:rFonts ns0:ascii="Calibri" ns0:hAnsi="Calibri"/>
          <ns0:b ns0:val="0"/>
          <ns0:i ns0:val="0"/>
          <ns0:sz ns0:val="22"/>
        </ns0:rPr>
        <ns0:t>Servicio REST ASP.NET Core en C# como núcleo de la solución.</ns0:t>
      </ns0:r>
    </ns0:p>
    <ns0:p>
      <ns0:pPr>
        <ns0:pStyle ns0:val="ListBullet"/>
        <ns0:spacing ns0:after="80" ns0:line="280" ns0:lineRule="auto"/>
      </ns0:pPr>
      <ns0:r>
        <ns0:rPr>
          <ns0:rFonts ns0:ascii="Calibri" ns0:hAnsi="Calibri"/>
          <ns0:b ns0:val="0"/>
          <ns0:i ns0:val="0"/>
          <ns0:sz ns0:val="22"/>
        </ns0:rPr>
        <ns0:t>Entrada multipart con imagen JPEG o PNG y tipo de gasto declarado.</ns0:t>
      </ns0:r>
    </ns0:p>
    <ns0:p>
      <ns0:pPr>
        <ns0:pStyle ns0:val="ListBullet"/>
        <ns0:spacing ns0:after="80" ns0:line="280" ns0:lineRule="auto"/>
      </ns0:pPr>
      <ns0:r>
        <ns0:rPr>
          <ns0:rFonts ns0:ascii="Calibri" ns0:hAnsi="Calibri"/>
          <ns0:b ns0:val="0"/>
          <ns0:i ns0:val="0"/>
          <ns0:sz ns0:val="22"/>
        </ns0:rPr>
        <ns0:t>Preprocesamiento limitado a orientación: OSD cuando aporta una rotación fiable y fallback 0/90/180/270 cuando el OCR inicial es pobre o no obtiene fecha o total.</ns0:t>
      </ns0:r>
    </ns0:p>
    <ns0:p>
      <ns0:pPr>
        <ns0:pStyle ns0:val="ListBullet"/>
        <ns0:spacing ns0:after="80" ns0:line="280" ns0:lineRule="auto"/>
      </ns0:pPr>
      <ns0:r>
        <ns0:rPr>
          <ns0:rFonts ns0:ascii="Calibri" ns0:hAnsi="Calibri"/>
          <ns0:b ns0:val="0"/>
          <ns0:i ns0:val="0"/>
          <ns0:sz ns0:val="22"/>
        </ns0:rPr>
        <ns0:t xml:space="preserve">Tesseract OCR para obtener OcrReadable, OcrRawText, fecha y total OCR, evaluar legibilidad y corroborar fecha y total como fuente independiente.</ns0:t>
      </ns0:r>
    </ns0:p>
    <ns0:p>
      <ns0:pPr>
        <ns0:pStyle ns0:val="ListBullet"/>
        <ns0:spacing ns0:after="80" ns0:line="280" ns0:lineRule="auto"/>
      </ns0:pPr>
      <ns0:r>
        <ns0:rPr>
          <ns0:rFonts ns0:ascii="Calibri" ns0:hAnsi="Calibri"/>
          <ns0:b ns0:val="0"/>
          <ns0:i ns0:val="0"/>
          <ns0:sz ns0:val="22"/>
        </ns0:rPr>
        <ns0:t xml:space="preserve">GPT-4.1 para lectura visual principal de estructura, metadatos, productos y manipulación; los productos no proceden del OCR.</ns0:t>
      </ns0:r>
    </ns0:p>
    <ns0:p>
      <ns0:pPr>
        <ns0:pStyle ns0:val="ListBullet"/>
        <ns0:spacing ns0:after="80" ns0:line="280" ns0:lineRule="auto"/>
      </ns0:pPr>
      <ns0:r>
        <ns0:rPr>
          <ns0:rFonts ns0:ascii="Calibri" ns0:hAnsi="Calibri"/>
          <ns0:b ns0:val="0"/>
          <ns0:i ns0:val="0"/>
          <ns0:sz ns0:val="22"/>
        </ns0:rPr>
        <ns0:t xml:space="preserve">Motor de reglas determinista, 233 pruebas xUnit correctas, logs en fichero, empaquetado Docker y despliegue público validado en Render.</ns0:t>
      </ns0:r>
    </ns0:p>
    <ns0:p>
      <ns0:pPr>
        <ns0:pStyle ns0:val="ListBullet"/>
        <ns0:spacing ns0:after="80" ns0:line="280" ns0:lineRule="auto"/>
      </ns0:pPr>
      <ns0:r>
        <ns0:rPr>
          <ns0:rFonts ns0:ascii="Calibri" ns0:hAnsi="Calibri"/>
          <ns0:b ns0:val="0"/>
          <ns0:i ns0:val="0"/>
          <ns0:sz ns0:val="22"/>
        </ns0:rPr>
        <ns0:t>Swagger UI obligatorio; web demo auxiliar en español, ligera y no crítica para el contrato REST.</ns0:t>
      </ns0:r>
    </ns0:p>
    <ns0:p>
      <ns0:pPr>
        <ns0:pStyle ns0:val="ListBullet"/>
        <ns0:spacing ns0:after="80" ns0:line="280" ns0:lineRule="auto"/>
      </ns0:pPr>
      <ns0:r>
        <ns0:rPr>
          <ns0:rFonts ns0:ascii="Calibri" ns0:hAnsi="Calibri"/>
          <ns0:b ns0:val="0"/>
          <ns0:i ns0:val="0"/>
          <ns0:sz ns0:val="22"/>
        </ns0:rPr>
        <ns0:t xml:space="preserve">La demo web, disponible en la ruta raíz, sirve para pruebas manuales y demostración: permite cargar imágenes, seleccionar el tipo de gasto, consultar la decisión, ver los datos extraídos, comparar fecha y total OCR/visual, revisar productos y OcrRawText, y consultar el JSON técnico. No forma parte del core funcional.</ns0:t>
      </ns0:r>
    </ns0:p>
    <ns0:p>
      <ns0:pPr>
        <ns0:pStyle ns0:val="Heading1"/>
        <ns0:keepNext/>
      </ns0:pPr>
      <ns0:r>
        <ns0:rPr>
          <ns0:rFonts ns0:ascii="Calibri" ns0:hAnsi="Calibri"/>
          <ns0:b/>
          <ns0:i ns0:val="0"/>
          <ns0:color ns0:val="2E74B5"/>
          <ns0:sz ns0:val="32"/>
        </ns0:rPr>
        <ns0:t>5. Fuera de alcance</ns0:t>
      </ns0:r>
    </ns0:p>
    <ns0:p>
      <ns0:pPr>
        <ns0:pStyle ns0:val="ListBullet"/>
        <ns0:spacing ns0:after="80" ns0:line="280" ns0:lineRule="auto"/>
      </ns0:pPr>
      <ns0:r>
        <ns0:rPr>
          <ns0:rFonts ns0:ascii="Calibri" ns0:hAnsi="Calibri"/>
          <ns0:b ns0:val="0"/>
          <ns0:i ns0:val="0"/>
          <ns0:sz ns0:val="22"/>
        </ns0:rPr>
        <ns0:t>Gestión de usuarios, autenticación, expedientes, pagos, contabilidad o gestión empresarial completa.</ns0:t>
      </ns0:r>
    </ns0:p>
    <ns0:p>
      <ns0:pPr>
        <ns0:pStyle ns0:val="ListBullet"/>
        <ns0:spacing ns0:after="80" ns0:line="280" ns0:lineRule="auto"/>
      </ns0:pPr>
      <ns0:r>
        <ns0:rPr>
          <ns0:rFonts ns0:ascii="Calibri" ns0:hAnsi="Calibri"/>
          <ns0:b ns0:val="0"/>
          <ns0:i ns0:val="0"/>
          <ns0:sz ns0:val="22"/>
        </ns0:rPr>
        <ns0:t>Aplicación móvil de captura, recorte automático de tickets, procesamiento masivo, colas, microservicios, CI/CD complejo o un OCR propio.</ns0:t>
      </ns0:r>
    </ns0:p>
    <ns0:p>
      <ns0:pPr>
        <ns0:pStyle ns0:val="ListBullet"/>
        <ns0:spacing ns0:after="80" ns0:line="280" ns0:lineRule="auto"/>
      </ns0:pPr>
      <ns0:r>
        <ns0:rPr>
          <ns0:rFonts ns0:ascii="Calibri" ns0:hAnsi="Calibri"/>
          <ns0:b ns0:val="0"/>
          <ns0:i ns0:val="0"/>
          <ns0:sz ns0:val="22"/>
        </ns0:rPr>
        <ns0:t>Corrección avanzada de perspectiva, filtros de contraste, restauración de imagen y recorte automático. Se reservan como evolución posterior.</ns0:t>
      </ns0:r>
    </ns0:p>
    <ns0:p>
      <ns0:pPr>
        <ns0:pStyle ns0:val="ListBullet"/>
        <ns0:spacing ns0:after="80" ns0:line="280" ns0:lineRule="auto"/>
      </ns0:pPr>
      <ns0:r>
        <ns0:rPr>
          <ns0:rFonts ns0:ascii="Calibri" ns0:hAnsi="Calibri"/>
          <ns0:b ns0:val="0"/>
          <ns0:i ns0:val="0"/>
          <ns0:sz ns0:val="22"/>
        </ns0:rPr>
        <ns0:t>Certificación forense de autenticidad, detección garantizada de fraude, metadatos EXIF como prueba, o validación C2PA.</ns0:t>
      </ns0:r>
    </ns0:p>
    <ns0:p>
      <ns0:pPr>
        <ns0:pStyle ns0:val="ListBullet"/>
        <ns0:spacing ns0:after="80" ns0:line="280" ns0:lineRule="auto"/>
      </ns0:pPr>
      <ns0:r>
        <ns0:rPr>
          <ns0:rFonts ns0:ascii="Calibri" ns0:hAnsi="Calibri"/>
          <ns0:b ns0:val="0"/>
          <ns0:i ns0:val="0"/>
          <ns0:sz ns0:val="22"/>
        </ns0:rPr>
        <ns0:t>Persistencia de imágenes o base de datos funcional de gastos.</ns0:t>
      </ns0:r>
    </ns0:p>
    <ns0:p>
      <ns0:pPr>
        <ns0:pStyle ns0:val="ListBullet"/>
        <ns0:spacing ns0:after="80" ns0:line="280" ns0:lineRule="auto"/>
      </ns0:pPr>
      <ns0:r>
        <ns0:rPr>
          <ns0:rFonts ns0:ascii="Calibri" ns0:hAnsi="Calibri"/>
          <ns0:b ns0:val="0"/>
          <ns0:i ns0:val="0"/>
          <ns0:sz ns0:val="22"/>
        </ns0:rPr>
        <ns0:t>Entrenamiento de modelos de IA propios o calibración definitiva de umbrales OCR.</ns0:t>
      </ns0:r>
    </ns0:p>
    <ns0:p>
      <ns0:pPr>
        <ns0:pStyle ns0:val="Heading1"/>
        <ns0:keepNext/>
      </ns0:pPr>
      <ns0:r>
        <ns0:rPr>
          <ns0:rFonts ns0:ascii="Calibri" ns0:hAnsi="Calibri"/>
          <ns0:b/>
          <ns0:i ns0:val="0"/>
          <ns0:color ns0:val="2E74B5"/>
          <ns0:sz ns0:val="32"/>
        </ns0:rPr>
        <ns0:t>6. Arquitectura conceptual</ns0:t>
      </ns0:r>
    </ns0:p>
    <ns0:p>
      <ns0:pPr>
        <ns0:spacing ns0:after="120" ns0:line="240" ns0:lineRule="auto"/>
        <ns0:ind ns0:left="259"/>
      </ns0:pPr>
      <ns0:r>
        <ns0:rPr>
          <ns0:rFonts ns0:ascii="Consolas" ns0:hAnsi="Consolas"/>
          <ns0:sz ns0:val="17"/>
        </ns0:rPr>
        <ns0:t>Cliente / Swagger / demo web en español -&gt; API REST -&gt; orientación OSD + fallback ortogonal -&gt; OCR
                                                       |                                      |
                                                       v                                      v
                                            RawText y evidencia OCR                 IA visual principal
                                                       |                                      |
                                                       +-------- corroboración y motor de reglas --------&gt; respuesta + log</ns0:t>
        <ns0:br/>
        <ns0:t xml:space="preserve"/>
        <ns0:br/>
        <ns0:t xml:space="preserve"/>
        <ns0:br/>
        <ns0:t/>
        <ns0:br/>
        <ns0:t xml:space="preserve"/>
        <ns0:br/>
        <ns0:t xml:space="preserve"/>
        <ns0:br/>
        <ns0:t xml:space="preserve"/>
        <ns0:br/>
        <ns0:t xml:space="preserve"/>
      </ns0:r>
    </ns0:p>
    <ns0:tbl>
      <ns0:tblPr>
        <ns0:tblStyle ns0:val="TableGrid"/>
        <ns0:tblW ns0:type="auto" ns0:w="0"/>
        <ns0:jc ns0:val="left"/>
        <ns0:tblLayout ns0:type="fixed"/>
        <ns0:tblLook ns0:firstColumn="1" ns0:firstRow="1" ns0:lastColumn="0" ns0:lastRow="0" ns0:noHBand="0" ns0:noVBand="1" ns0:val="04A0"/>
        <ns0:tblInd ns0:w="120" ns0:type="dxa"/>
      </ns0:tblPr>
      <ns0:tblGrid>
        <ns0:gridCol ns0:w="4680"/>
        <ns0:gridCol ns0:w="4680"/>
      </ns0:tblGrid>
      <ns0:tr>
        <ns0:tc>
          <ns0:tcPr>
            <ns0:tcW ns0:type="dxa" ns0:w="2200"/>
            <ns0:shd ns0:fill="E8EEF5"/>
            <ns0:tcMar>
              <ns0:top ns0:w="80" ns0:type="dxa"/>
              <ns0:start ns0:w="120" ns0:type="dxa"/>
              <ns0:bottom ns0:w="80" ns0:type="dxa"/>
              <ns0:end ns0:w="120" ns0:type="dxa"/>
            </ns0:tcMar>
            <ns0:vAlign ns0:val="center"/>
          </ns0:tcPr>
          <ns0:p>
            <ns0:pPr>
              <ns0:spacing ns0:after="0"/>
            </ns0:pPr>
            <ns0:r>
              <ns0:rPr>
                <ns0:rFonts ns0:ascii="Calibri" ns0:hAnsi="Calibri"/>
                <ns0:b/>
                <ns0:i ns0:val="0"/>
                <ns0:color ns0:val="1F4D78"/>
                <ns0:sz ns0:val="20"/>
              </ns0:rPr>
              <ns0:t>Componente</ns0:t>
            </ns0:r>
          </ns0:p>
        </ns0:tc>
        <ns0:tc>
          <ns0:tcPr>
            <ns0:tcW ns0:type="dxa" ns0:w="7160"/>
            <ns0:shd ns0:fill="E8EEF5"/>
            <ns0:tcMar>
              <ns0:top ns0:w="80" ns0:type="dxa"/>
              <ns0:start ns0:w="120" ns0:type="dxa"/>
              <ns0:bottom ns0:w="80" ns0:type="dxa"/>
              <ns0:end ns0:w="120" ns0:type="dxa"/>
            </ns0:tcMar>
            <ns0:vAlign ns0:val="center"/>
          </ns0:tcPr>
          <ns0:p>
            <ns0:pPr>
              <ns0:spacing ns0:after="0"/>
            </ns0:pPr>
            <ns0:r>
              <ns0:rPr>
                <ns0:rFonts ns0:ascii="Calibri" ns0:hAnsi="Calibri"/>
                <ns0:b/>
                <ns0:i ns0:val="0"/>
                <ns0:color ns0:val="1F4D78"/>
                <ns0:sz ns0:val="20"/>
              </ns0:rPr>
              <ns0:t>Responsabilidad</ns0:t>
            </ns0:r>
          </ns0:p>
        </ns0:tc>
      </ns0:tr>
      <ns0:tr>
        <ns0:tc>
          <ns0:tcPr>
            <ns0:tcW ns0:type="dxa" ns0:w="22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API</ns0:t>
            </ns0:r>
          </ns0:p>
        </ns0:tc>
        <ns0:tc>
          <ns0:tcPr>
            <ns0:tcW ns0:type="dxa" ns0:w="71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Recibe la petición HTTP, valida la entrada, invoca el caso de uso y expone OpenAPI/Swagger.</ns0:t>
            </ns0:r>
          </ns0:p>
        </ns0:tc>
      </ns0:tr>
      <ns0:tr>
        <ns0:tc>
          <ns0:tcPr>
            <ns0:tcW ns0:type="dxa" ns0:w="22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OCR</ns0:t>
            </ns0:r>
          </ns0:p>
        </ns0:tc>
        <ns0:tc>
          <ns0:tcPr>
            <ns0:tcW ns0:type="dxa" ns0:w="71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Tesseract: OcrReadable, OcrRawText, fecha, total, contraste y diagnóstico.</ns0:t>
            </ns0:r>
          </ns0:p>
        </ns0:tc>
      </ns0:tr>
      <ns0:tr>
        <ns0:tc>
          <ns0:tcPr>
            <ns0:tcW ns0:type="dxa" ns0:w="22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IA visual</ns0:t>
            </ns0:r>
          </ns0:p>
        </ns0:tc>
        <ns0:tc>
          <ns0:tcPr>
            <ns0:tcW ns0:type="dxa" ns0:w="71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GPT-4.1: lectura estructurada principal de la imagen, productos e indicios de manipulación.</ns0:t>
            </ns0:r>
          </ns0:p>
        </ns0:tc>
      </ns0:tr>
      <ns0:tr>
        <ns0:tc>
          <ns0:tcPr>
            <ns0:tcW ns0:type="dxa" ns0:w="22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Verificación</ns0:t>
            </ns0:r>
          </ns0:p>
        </ns0:tc>
        <ns0:tc>
          <ns0:tcPr>
            <ns0:tcW ns0:type="dxa" ns0:w="71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Compara fecha y total visuales con OCR; registra coincidencias, ausencias y discrepancias.</ns0:t>
            </ns0:r>
          </ns0:p>
        </ns0:tc>
      </ns0:tr>
      <ns0:tr>
        <ns0:tc>
          <ns0:tcPr>
            <ns0:tcW ns0:type="dxa" ns0:w="22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Reglas</ns0:t>
            </ns0:r>
          </ns0:p>
        </ns0:tc>
        <ns0:tc>
          <ns0:tcPr>
            <ns0:tcW ns0:type="dxa" ns0:w="71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ProductClassifier, ExpenseCoherenceAnalyzer y ExpenseRuleEngine deciden en código.</ns0:t>
            </ns0:r>
          </ns0:p>
        </ns0:tc>
      </ns0:tr>
      <ns0:tr>
        <ns0:tc>
          <ns0:tcPr>
            <ns0:tcW ns0:type="dxa" ns0:w="22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Auditoría</ns0:t>
            </ns0:r>
          </ns0:p>
        </ns0:tc>
        <ns0:tc>
          <ns0:tcPr>
            <ns0:tcW ns0:type="dxa" ns0:w="71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Guarda logs técnicos estructurados sin imágenes ni secretos.</ns0:t>
            </ns0:r>
          </ns0:p>
        </ns0:tc>
      </ns0:tr>
    </ns0:tbl>
    <ns0:p>
      <ns0:pPr>
        <ns0:spacing ns0:after="40"/>
      </ns0:pPr>
    </ns0:p>
    <ns0:p>
      <ns0:pPr>
        <ns0:pStyle ns0:val="Heading1"/>
        <ns0:keepNext/>
      </ns0:pPr>
      <ns0:r>
        <ns0:rPr>
          <ns0:rFonts ns0:ascii="Calibri" ns0:hAnsi="Calibri"/>
          <ns0:b/>
          <ns0:i ns0:val="0"/>
          <ns0:color ns0:val="2E74B5"/>
          <ns0:sz ns0:val="32"/>
        </ns0:rPr>
        <ns0:t>7. Flujo de procesamiento</ns0:t>
      </ns0:r>
    </ns0:p>
    <ns0:p>
      <ns0:pPr>
        <ns0:pStyle ns0:val="ListBullet"/>
        <ns0:spacing ns0:after="80" ns0:line="280" ns0:lineRule="auto"/>
      </ns0:pPr>
      <ns0:r>
        <ns0:rPr>
          <ns0:rFonts ns0:ascii="Calibri" ns0:hAnsi="Calibri"/>
          <ns0:b ns0:val="0"/>
          <ns0:i ns0:val="0"/>
          <ns0:sz ns0:val="22"/>
        </ns0:rPr>
        <ns0:t>Validar formato, tamaño y presencia de archivo y tipo de gasto.</ns0:t>
      </ns0:r>
    </ns0:p>
    <ns0:p>
      <ns0:pPr>
        <ns0:pStyle ns0:val="ListBullet"/>
        <ns0:spacing ns0:after="80" ns0:line="280" ns0:lineRule="auto"/>
      </ns0:pPr>
      <ns0:r>
        <ns0:rPr>
          <ns0:rFonts ns0:ascii="Calibri" ns0:hAnsi="Calibri"/>
          <ns0:b ns0:val="0"/>
          <ns0:i ns0:val="0"/>
          <ns0:sz ns0:val="22"/>
        </ns0:rPr>
        <ns0:t>Aplicar OSD si hay una rotación fiable; si el OCR inicial está vacío, es pobre o no obtiene fecha o total, evaluar 0/90/180/270 y conservar la mejor evidencia y su imagen.</ns0:t>
      </ns0:r>
    </ns0:p>
    <ns0:p>
      <ns0:pPr>
        <ns0:pStyle ns0:val="ListBullet"/>
        <ns0:spacing ns0:after="80" ns0:line="280" ns0:lineRule="auto"/>
      </ns0:pPr>
      <ns0:r>
        <ns0:rPr>
          <ns0:rFonts ns0:ascii="Calibri" ns0:hAnsi="Calibri"/>
          <ns0:b ns0:val="0"/>
          <ns0:i ns0:val="0"/>
          <ns0:sz ns0:val="22"/>
        </ns0:rPr>
        <ns0:t>Ejecutar Tesseract y conservar RawText, legibilidad y evidencia OCR como fuente independiente de corroboración.</ns0:t>
      </ns0:r>
    </ns0:p>
    <ns0:p>
      <ns0:pPr>
        <ns0:pStyle ns0:val="ListBullet"/>
        <ns0:spacing ns0:after="80" ns0:line="280" ns0:lineRule="auto"/>
      </ns0:pPr>
      <ns0:r>
        <ns0:rPr>
          <ns0:rFonts ns0:ascii="Calibri" ns0:hAnsi="Calibri"/>
          <ns0:b ns0:val="0"/>
          <ns0:i ns0:val="0"/>
          <ns0:sz ns0:val="22"/>
        </ns0:rPr>
        <ns0:t xml:space="preserve">Enviar la misma imagen orientada a la IA visual para extraer los datos estructurados y las líneas de producto; OCR no completa datos semánticos ausentes.</ns0:t>
      </ns0:r>
    </ns0:p>
    <ns0:p>
      <ns0:pPr>
        <ns0:pStyle ns0:val="ListBullet"/>
        <ns0:spacing ns0:after="80" ns0:line="280" ns0:lineRule="auto"/>
      </ns0:pPr>
      <ns0:r>
        <ns0:rPr>
          <ns0:rFonts ns0:ascii="Calibri" ns0:hAnsi="Calibri"/>
          <ns0:b ns0:val="0"/>
          <ns0:i ns0:val="0"/>
          <ns0:sz ns0:val="22"/>
        </ns0:rPr>
        <ns0:t xml:space="preserve">Clasificar los productos visuales mediante ProductClassifier y analizarlos con ExpenseCoherenceAnalyzer antes de aplicar el motor de reglas.</ns0:t>
      </ns0:r>
    </ns0:p>
    <ns0:p>
      <ns0:pPr>
        <ns0:pStyle ns0:val="ListBullet"/>
        <ns0:spacing ns0:after="80" ns0:line="280" ns0:lineRule="auto"/>
      </ns0:pPr>
      <ns0:r>
        <ns0:rPr>
          <ns0:rFonts ns0:ascii="Calibri" ns0:hAnsi="Calibri"/>
          <ns0:b ns0:val="0"/>
          <ns0:i ns0:val="0"/>
          <ns0:sz ns0:val="22"/>
        </ns0:rPr>
        <ns0:t>Comparar lectura visual y OCR en fecha y total; registrar coincidencias, ausencia de evidencia y discrepancias. Aplicar OCR_LOW_CONFIDENCE cuando solo OCR aporte un campo crítico.</ns0:t>
      </ns0:r>
    </ns0:p>
    <ns0:p>
      <ns0:pPr>
        <ns0:pStyle ns0:val="ListBullet"/>
        <ns0:spacing ns0:after="80" ns0:line="280" ns0:lineRule="auto"/>
      </ns0:pPr>
      <ns0:r>
        <ns0:rPr>
          <ns0:rFonts ns0:ascii="Calibri" ns0:hAnsi="Calibri"/>
          <ns0:b ns0:val="0"/>
          <ns0:i ns0:val="0"/>
          <ns0:sz ns0:val="22"/>
        </ns0:rPr>
        <ns0:t>Aplicar reglas y devolver el estado, código, mensaje, datos extraídos y verificación.</ns0:t>
      </ns0:r>
    </ns0:p>
    <ns0:p>
      <ns0:pPr>
        <ns0:pStyle ns0:val="ListBullet"/>
        <ns0:spacing ns0:after="80" ns0:line="280" ns0:lineRule="auto"/>
      </ns0:pPr>
      <ns0:r>
        <ns0:rPr>
          <ns0:rFonts ns0:ascii="Calibri" ns0:hAnsi="Calibri"/>
          <ns0:b ns0:val="0"/>
          <ns0:i ns0:val="0"/>
          <ns0:sz ns0:val="22"/>
        </ns0:rPr>
        <ns0:t>Escribir un log técnico con identificador, estado, código, duración y errores, sin guardar la imagen.</ns0:t>
      </ns0:r>
    </ns0:p>
    <ns0:p>
      <ns0:pPr>
        <ns0:pStyle ns0:val="Heading1"/>
        <ns0:keepNext/>
      </ns0:pPr>
      <ns0:r>
        <ns0:rPr>
          <ns0:rFonts ns0:ascii="Calibri" ns0:hAnsi="Calibri"/>
          <ns0:b/>
          <ns0:i ns0:val="0"/>
          <ns0:color ns0:val="2E74B5"/>
          <ns0:sz ns0:val="32"/>
        </ns0:rPr>
        <ns0:t>8. Política de evidencia y discrepancias</ns0:t>
      </ns0:r>
    </ns0:p>
    <ns0:tbl>
      <ns0:tblPr>
        <ns0:tblStyle ns0:val="TableGrid"/>
        <ns0:tblW ns0:type="auto" ns0:w="0"/>
        <ns0:jc ns0:val="left"/>
        <ns0:tblLayout ns0:type="fixed"/>
        <ns0:tblLook ns0:firstColumn="1" ns0:firstRow="1" ns0:lastColumn="0" ns0:lastRow="0" ns0:noHBand="0" ns0:noVBand="1" ns0:val="04A0"/>
        <ns0:tblInd ns0:w="120" ns0:type="dxa"/>
      </ns0:tblPr>
      <ns0:tblGrid>
        <ns0:gridCol ns0:w="4680"/>
        <ns0:gridCol ns0:w="4680"/>
      </ns0:tblGrid>
      <ns0:tr>
        <ns0:tc>
          <ns0:tcPr>
            <ns0:tcW ns0:type="dxa" ns0:w="3500"/>
            <ns0:shd ns0:fill="E8EEF5"/>
            <ns0:tcMar>
              <ns0:top ns0:w="80" ns0:type="dxa"/>
              <ns0:start ns0:w="120" ns0:type="dxa"/>
              <ns0:bottom ns0:w="80" ns0:type="dxa"/>
              <ns0:end ns0:w="120" ns0:type="dxa"/>
            </ns0:tcMar>
            <ns0:vAlign ns0:val="center"/>
          </ns0:tcPr>
          <ns0:p>
            <ns0:pPr>
              <ns0:spacing ns0:after="0"/>
            </ns0:pPr>
            <ns0:r>
              <ns0:rPr>
                <ns0:rFonts ns0:ascii="Calibri" ns0:hAnsi="Calibri"/>
                <ns0:b/>
                <ns0:i ns0:val="0"/>
                <ns0:color ns0:val="1F4D78"/>
                <ns0:sz ns0:val="20"/>
              </ns0:rPr>
              <ns0:t>Situación</ns0:t>
            </ns0:r>
          </ns0:p>
        </ns0:tc>
        <ns0:tc>
          <ns0:tcPr>
            <ns0:tcW ns0:type="dxa" ns0:w="5860"/>
            <ns0:shd ns0:fill="E8EEF5"/>
            <ns0:tcMar>
              <ns0:top ns0:w="80" ns0:type="dxa"/>
              <ns0:start ns0:w="120" ns0:type="dxa"/>
              <ns0:bottom ns0:w="80" ns0:type="dxa"/>
              <ns0:end ns0:w="120" ns0:type="dxa"/>
            </ns0:tcMar>
            <ns0:vAlign ns0:val="center"/>
          </ns0:tcPr>
          <ns0:p>
            <ns0:pPr>
              <ns0:spacing ns0:after="0"/>
            </ns0:pPr>
            <ns0:r>
              <ns0:rPr>
                <ns0:rFonts ns0:ascii="Calibri" ns0:hAnsi="Calibri"/>
                <ns0:b/>
                <ns0:i ns0:val="0"/>
                <ns0:color ns0:val="1F4D78"/>
                <ns0:sz ns0:val="20"/>
              </ns0:rPr>
              <ns0:t>Tratamiento MVP</ns0:t>
            </ns0:r>
          </ns0:p>
        </ns0:tc>
      </ns0:tr>
      <ns0:tr>
        <ns0:tc>
          <ns0:tcPr>
            <ns0:tcW ns0:type="dxa" ns0:w="35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IA visual + OCR coinciden en fecha/total</ns0:t>
            </ns0:r>
          </ns0:p>
        </ns0:tc>
        <ns0:tc>
          <ns0:tcPr>
            <ns0:tcW ns0:type="dxa" ns0:w="58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Campo corroborado; para APPROVED, DateMatch y TotalMatch deben ser true.</ns0:t>
            </ns0:r>
          </ns0:p>
        </ns0:tc>
      </ns0:tr>
      <ns0:tr>
        <ns0:tc>
          <ns0:tcPr>
            <ns0:tcW ns0:type="dxa" ns0:w="35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Falta una de las fuentes</ns0:t>
            </ns0:r>
          </ns0:p>
        </ns0:tc>
        <ns0:tc>
          <ns0:tcPr>
            <ns0:tcW ns0:type="dxa" ns0:w="58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REVIEW_REQUIRED con OCR_LOW_CONFIDENCE; el valor visual se conserva como lectura principal.</ns0:t>
            </ns0:r>
          </ns0:p>
        </ns0:tc>
      </ns0:tr>
      <ns0:tr>
        <ns0:tc>
          <ns0:tcPr>
            <ns0:tcW ns0:type="dxa" ns0:w="35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IA visual y OCR discrepan</ns0:t>
            </ns0:r>
          </ns0:p>
        </ns0:tc>
        <ns0:tc>
          <ns0:tcPr>
            <ns0:tcW ns0:type="dxa" ns0:w="58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REVIEW_REQUIRED con DATE_MISMATCH o TOTAL_MISMATCH.</ns0:t>
            </ns0:r>
          </ns0:p>
        </ns0:tc>
      </ns0:tr>
      <ns0:tr>
        <ns0:tc>
          <ns0:tcPr>
            <ns0:tcW ns0:type="dxa" ns0:w="35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Solo OCR obtiene un campo crítico</ns0:t>
            </ns0:r>
          </ns0:p>
        </ns0:tc>
        <ns0:tc>
          <ns0:tcPr>
            <ns0:tcW ns0:type="dxa" ns0:w="58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REVIEW_REQUIRED con OCR_LOW_CONFIDENCE; OCR no se eleva a fuente principal.</ns0:t>
            </ns0:r>
          </ns0:p>
        </ns0:tc>
      </ns0:tr>
      <ns0:tr>
        <ns0:tc>
          <ns0:tcPr>
            <ns0:tcW ns0:type="dxa" ns0:w="35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Ninguna fuente determina el total</ns0:t>
            </ns0:r>
          </ns0:p>
        </ns0:tc>
        <ns0:tc>
          <ns0:tcPr>
            <ns0:tcW ns0:type="dxa" ns0:w="58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ERR_SIN_TOTAL según la prioridad de reglas.</ns0:t>
            </ns0:r>
          </ns0:p>
        </ns0:tc>
      </ns0:tr>
      <ns0:tr>
        <ns0:tc>
          <ns0:tcPr>
            <ns0:tcW ns0:type="dxa" ns0:w="35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Ninguna fuente determina la fecha</ns0:t>
            </ns0:r>
          </ns0:p>
        </ns0:tc>
        <ns0:tc>
          <ns0:tcPr>
            <ns0:tcW ns0:type="dxa" ns0:w="58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ERR_SIN_FECHA según la prioridad de reglas.</ns0:t>
            </ns0:r>
          </ns0:p>
        </ns0:tc>
      </ns0:tr>
    </ns0:tbl>
    <ns0:p>
      <ns0:pPr>
        <ns0:spacing ns0:after="40"/>
      </ns0:pPr>
    </ns0:p>
    <ns0:p>
      <ns0:pPr>
        <ns0:spacing ns0:after="120" ns0:line="264" ns0:lineRule="auto"/>
      </ns0:pPr>
      <ns0:r>
        <ns0:rPr>
          <ns0:rFonts ns0:ascii="Calibri" ns0:hAnsi="Calibri"/>
          <ns0:b ns0:val="0"/>
          <ns0:i ns0:val="0"/>
          <ns0:sz ns0:val="22"/>
        </ns0:rPr>
        <ns0:t>Nota de validación experimental. Esta política se consolidó tras pruebas con tickets reales. Los umbrales OCR son señales técnicas de apoyo y no sustituyen las reglas de negocio ni permiten inventar dígitos o campos no visibles.</ns0:t>
      </ns0:r>
    </ns0:p>
    <ns0:p>
      <ns0:pPr>
        <ns0:pStyle ns0:val="Heading1"/>
        <ns0:keepNext/>
      </ns0:pPr>
      <ns0:r>
        <ns0:rPr>
          <ns0:rFonts ns0:ascii="Calibri" ns0:hAnsi="Calibri"/>
          <ns0:b/>
          <ns0:i ns0:val="0"/>
          <ns0:color ns0:val="2E74B5"/>
          <ns0:sz ns0:val="32"/>
        </ns0:rPr>
        <ns0:t>9. Requisitos funcionales</ns0:t>
      </ns0:r>
    </ns0:p>
    <ns0:tbl>
      <ns0:tblPr>
        <ns0:tblStyle ns0:val="TableGrid"/>
        <ns0:tblW ns0:type="auto" ns0:w="0"/>
        <ns0:jc ns0:val="left"/>
        <ns0:tblLayout ns0:type="fixed"/>
        <ns0:tblLook ns0:firstColumn="1" ns0:firstRow="1" ns0:lastColumn="0" ns0:lastRow="0" ns0:noHBand="0" ns0:noVBand="1" ns0:val="04A0"/>
        <ns0:tblInd ns0:w="120" ns0:type="dxa"/>
      </ns0:tblPr>
      <ns0:tblGrid>
        <ns0:gridCol ns0:w="4680"/>
        <ns0:gridCol ns0:w="4680"/>
      </ns0:tblGrid>
      <ns0:tr>
        <ns0:tc>
          <ns0:tcPr>
            <ns0:tcW ns0:type="dxa" ns0:w="1100"/>
            <ns0:shd ns0:fill="E8EEF5"/>
            <ns0:tcMar>
              <ns0:top ns0:w="80" ns0:type="dxa"/>
              <ns0:start ns0:w="120" ns0:type="dxa"/>
              <ns0:bottom ns0:w="80" ns0:type="dxa"/>
              <ns0:end ns0:w="120" ns0:type="dxa"/>
            </ns0:tcMar>
            <ns0:vAlign ns0:val="center"/>
          </ns0:tcPr>
          <ns0:p>
            <ns0:pPr>
              <ns0:spacing ns0:after="0"/>
            </ns0:pPr>
            <ns0:r>
              <ns0:rPr>
                <ns0:rFonts ns0:ascii="Calibri" ns0:hAnsi="Calibri"/>
                <ns0:b/>
                <ns0:i ns0:val="0"/>
                <ns0:color ns0:val="1F4D78"/>
                <ns0:sz ns0:val="20"/>
              </ns0:rPr>
              <ns0:t>ID</ns0:t>
            </ns0:r>
          </ns0:p>
        </ns0:tc>
        <ns0:tc>
          <ns0:tcPr>
            <ns0:tcW ns0:type="dxa" ns0:w="8260"/>
            <ns0:shd ns0:fill="E8EEF5"/>
            <ns0:tcMar>
              <ns0:top ns0:w="80" ns0:type="dxa"/>
              <ns0:start ns0:w="120" ns0:type="dxa"/>
              <ns0:bottom ns0:w="80" ns0:type="dxa"/>
              <ns0:end ns0:w="120" ns0:type="dxa"/>
            </ns0:tcMar>
            <ns0:vAlign ns0:val="center"/>
          </ns0:tcPr>
          <ns0:p>
            <ns0:pPr>
              <ns0:spacing ns0:after="0"/>
            </ns0:pPr>
            <ns0:r>
              <ns0:rPr>
                <ns0:rFonts ns0:ascii="Calibri" ns0:hAnsi="Calibri"/>
                <ns0:b/>
                <ns0:i ns0:val="0"/>
                <ns0:color ns0:val="1F4D78"/>
                <ns0:sz ns0:val="20"/>
              </ns0:rPr>
              <ns0:t>Requisito</ns0:t>
            </ns0:r>
          </ns0:p>
        </ns0:tc>
      </ns0:tr>
      <ns0:tr>
        <ns0:tc>
          <ns0:tcPr>
            <ns0:tcW ns0:type="dxa" ns0:w="11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RF-001</ns0:t>
            </ns0:r>
          </ns0:p>
        </ns0:tc>
        <ns0:tc>
          <ns0:tcPr>
            <ns0:tcW ns0:type="dxa" ns0:w="82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El sistema deberá aceptar una imagen JPEG o PNG y un tipo de gasto en una petición REST.</ns0:t>
            </ns0:r>
          </ns0:p>
        </ns0:tc>
      </ns0:tr>
      <ns0:tr>
        <ns0:tc>
          <ns0:tcPr>
            <ns0:tcW ns0:type="dxa" ns0:w="11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RF-002</ns0:t>
            </ns0:r>
          </ns0:p>
        </ns0:tc>
        <ns0:tc>
          <ns0:tcPr>
            <ns0:tcW ns0:type="dxa" ns0:w="82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El sistema deberá rechazar solicitudes sin archivo, con formato no admitido o parámetros obligatorios ausentes.</ns0:t>
            </ns0:r>
          </ns0:p>
        </ns0:tc>
      </ns0:tr>
      <ns0:tr>
        <ns0:tc>
          <ns0:tcPr>
            <ns0:tcW ns0:type="dxa" ns0:w="11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RF-003</ns0:t>
            </ns0:r>
          </ns0:p>
        </ns0:tc>
        <ns0:tc>
          <ns0:tcPr>
            <ns0:tcW ns0:type="dxa" ns0:w="82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El sistema ejecutará Tesseract OSD y, si falta texto útil, palabras, fecha o total, probará 0/90/180/270 y elegirá la orientación con mejor evidencia OCR.</ns0:t>
            </ns0:r>
          </ns0:p>
        </ns0:tc>
      </ns0:tr>
      <ns0:tr>
        <ns0:tc>
          <ns0:tcPr>
            <ns0:tcW ns0:type="dxa" ns0:w="11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RF-004</ns0:t>
            </ns0:r>
          </ns0:p>
        </ns0:tc>
        <ns0:tc>
          <ns0:tcPr>
            <ns0:tcW ns0:type="dxa" ns0:w="82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La misma imagen orientada se utilizará para OCR e IA visual; no se emplean OpenCV, corrección fina de inclinación, perspectiva ni recorte automático.</ns0:t>
            </ns0:r>
          </ns0:p>
        </ns0:tc>
      </ns0:tr>
      <ns0:tr>
        <ns0:tc>
          <ns0:tcPr>
            <ns0:tcW ns0:type="dxa" ns0:w="11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RF-005</ns0:t>
            </ns0:r>
          </ns0:p>
        </ns0:tc>
        <ns0:tc>
          <ns0:tcPr>
            <ns0:tcW ns0:type="dxa" ns0:w="82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La IA visual deberá extraer tipo de documento, emisor, CIF/NIF, dirección, número, fecha, hora, total, IVA, productos e indicios de manipulación.</ns0:t>
            </ns0:r>
          </ns0:p>
        </ns0:tc>
      </ns0:tr>
      <ns0:tr>
        <ns0:tc>
          <ns0:tcPr>
            <ns0:tcW ns0:type="dxa" ns0:w="11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RF-006</ns0:t>
            </ns0:r>
          </ns0:p>
        </ns0:tc>
        <ns0:tc>
          <ns0:tcPr>
            <ns0:tcW ns0:type="dxa" ns0:w="82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OCR deberá conservar OcrReadable, OcrRawText, fecha OCR, total OCR, contraste independiente y diagnóstico.</ns0:t>
            </ns0:r>
          </ns0:p>
        </ns0:tc>
      </ns0:tr>
      <ns0:tr>
        <ns0:tc>
          <ns0:tcPr>
            <ns0:tcW ns0:type="dxa" ns0:w="11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RF-007</ns0:t>
            </ns0:r>
          </ns0:p>
        </ns0:tc>
        <ns0:tc>
          <ns0:tcPr>
            <ns0:tcW ns0:type="dxa" ns0:w="82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Los productos procederán exclusivamente de líneas visuales, se clasificarán mediante ProductClassifier y alimentarán TicketData.Products y ExpenseCoherenceAnalyzer.</ns0:t>
            </ns0:r>
          </ns0:p>
        </ns0:tc>
      </ns0:tr>
      <ns0:tr>
        <ns0:tc>
          <ns0:tcPr>
            <ns0:tcW ns0:type="dxa" ns0:w="11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RF-008</ns0:t>
            </ns0:r>
          </ns0:p>
        </ns0:tc>
        <ns0:tc>
          <ns0:tcPr>
            <ns0:tcW ns0:type="dxa" ns0:w="82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El sistema analizará visualmente tachaduras, sobrescrituras, corrector o modificaciones visibles, sin presentarlo como análisis forense.</ns0:t>
            </ns0:r>
          </ns0:p>
        </ns0:tc>
      </ns0:tr>
      <ns0:tr>
        <ns0:tc>
          <ns0:tcPr>
            <ns0:tcW ns0:type="dxa" ns0:w="11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RF-009</ns0:t>
            </ns0:r>
          </ns0:p>
        </ns0:tc>
        <ns0:tc>
          <ns0:tcPr>
            <ns0:tcW ns0:type="dxa" ns0:w="82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El sistema corroborará fecha y total comparando IA visual y OCR, registrando coincidencias, ausencias y discrepancias.</ns0:t>
            </ns0:r>
          </ns0:p>
        </ns0:tc>
      </ns0:tr>
      <ns0:tr>
        <ns0:tc>
          <ns0:tcPr>
            <ns0:tcW ns0:type="dxa" ns0:w="11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RF-010</ns0:t>
            </ns0:r>
          </ns0:p>
        </ns0:tc>
        <ns0:tc>
          <ns0:tcPr>
            <ns0:tcW ns0:type="dxa" ns0:w="82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El sistema aplicará reglas deterministas y devolverá estado, código de motivo y mensaje comprensible.</ns0:t>
            </ns0:r>
          </ns0:p>
        </ns0:tc>
      </ns0:tr>
      <ns0:tr>
        <ns0:tc>
          <ns0:tcPr>
            <ns0:tcW ns0:type="dxa" ns0:w="11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RF-011</ns0:t>
            </ns0:r>
          </ns0:p>
        </ns0:tc>
        <ns0:tc>
          <ns0:tcPr>
            <ns0:tcW ns0:type="dxa" ns0:w="82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El sistema ofrecerá Swagger en /swagger y una web demo auxiliar en español en la ruta raíz.</ns0:t>
            </ns0:r>
          </ns0:p>
        </ns0:tc>
      </ns0:tr>
      <ns0:tr>
        <ns0:tc>
          <ns0:tcPr>
            <ns0:tcW ns0:type="dxa" ns0:w="11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RF-012</ns0:t>
            </ns0:r>
          </ns0:p>
        </ns0:tc>
        <ns0:tc>
          <ns0:tcPr>
            <ns0:tcW ns0:type="dxa" ns0:w="82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El sistema registrará en fichero información técnica de cada análisis, sin persistir la imagen como requisito del MVP.</ns0:t>
            </ns0:r>
          </ns0:p>
        </ns0:tc>
      </ns0:tr>
    </ns0:tbl>
    <ns0:p>
      <ns0:pPr>
        <ns0:spacing ns0:after="40"/>
      </ns0:pPr>
    </ns0:p>
    <ns0:p>
      <ns0:pPr>
        <ns0:pStyle ns0:val="Heading1"/>
        <ns0:keepNext/>
      </ns0:pPr>
      <ns0:r>
        <ns0:rPr>
          <ns0:rFonts ns0:ascii="Calibri" ns0:hAnsi="Calibri"/>
          <ns0:b/>
          <ns0:i ns0:val="0"/>
          <ns0:color ns0:val="2E74B5"/>
          <ns0:sz ns0:val="32"/>
        </ns0:rPr>
        <ns0:t>10. Reglas de negocio</ns0:t>
      </ns0:r>
    </ns0:p>
    <ns0:tbl>
      <ns0:tblPr>
        <ns0:tblStyle ns0:val="TableGrid"/>
        <ns0:tblW ns0:type="auto" ns0:w="0"/>
        <ns0:jc ns0:val="left"/>
        <ns0:tblLayout ns0:type="fixed"/>
        <ns0:tblLook ns0:firstColumn="1" ns0:firstRow="1" ns0:lastColumn="0" ns0:lastRow="0" ns0:noHBand="0" ns0:noVBand="1" ns0:val="04A0"/>
        <ns0:tblInd ns0:w="120" ns0:type="dxa"/>
      </ns0:tblPr>
      <ns0:tblGrid>
        <ns0:gridCol ns0:w="4680"/>
        <ns0:gridCol ns0:w="4680"/>
      </ns0:tblGrid>
      <ns0:tr>
        <ns0:tc>
          <ns0:tcPr>
            <ns0:tcW ns0:type="dxa" ns0:w="1100"/>
            <ns0:shd ns0:fill="E8EEF5"/>
            <ns0:tcMar>
              <ns0:top ns0:w="80" ns0:type="dxa"/>
              <ns0:start ns0:w="120" ns0:type="dxa"/>
              <ns0:bottom ns0:w="80" ns0:type="dxa"/>
              <ns0:end ns0:w="120" ns0:type="dxa"/>
            </ns0:tcMar>
            <ns0:vAlign ns0:val="center"/>
          </ns0:tcPr>
          <ns0:p>
            <ns0:pPr>
              <ns0:spacing ns0:after="0"/>
            </ns0:pPr>
            <ns0:r>
              <ns0:rPr>
                <ns0:rFonts ns0:ascii="Calibri" ns0:hAnsi="Calibri"/>
                <ns0:b/>
                <ns0:i ns0:val="0"/>
                <ns0:color ns0:val="1F4D78"/>
                <ns0:sz ns0:val="20"/>
              </ns0:rPr>
              <ns0:t>ID</ns0:t>
            </ns0:r>
          </ns0:p>
        </ns0:tc>
        <ns0:tc>
          <ns0:tcPr>
            <ns0:tcW ns0:type="dxa" ns0:w="8260"/>
            <ns0:shd ns0:fill="E8EEF5"/>
            <ns0:tcMar>
              <ns0:top ns0:w="80" ns0:type="dxa"/>
              <ns0:start ns0:w="120" ns0:type="dxa"/>
              <ns0:bottom ns0:w="80" ns0:type="dxa"/>
              <ns0:end ns0:w="120" ns0:type="dxa"/>
            </ns0:tcMar>
            <ns0:vAlign ns0:val="center"/>
          </ns0:tcPr>
          <ns0:p>
            <ns0:pPr>
              <ns0:spacing ns0:after="0"/>
            </ns0:pPr>
            <ns0:r>
              <ns0:rPr>
                <ns0:rFonts ns0:ascii="Calibri" ns0:hAnsi="Calibri"/>
                <ns0:b/>
                <ns0:i ns0:val="0"/>
                <ns0:color ns0:val="1F4D78"/>
                <ns0:sz ns0:val="20"/>
              </ns0:rPr>
              <ns0:t>Regla</ns0:t>
            </ns0:r>
          </ns0:p>
        </ns0:tc>
      </ns0:tr>
      <ns0:tr>
        <ns0:tc>
          <ns0:tcPr>
            <ns0:tcW ns0:type="dxa" ns0:w="11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RN-001</ns0:t>
            </ns0:r>
          </ns0:p>
        </ns0:tc>
        <ns0:tc>
          <ns0:tcPr>
            <ns0:tcW ns0:type="dxa" ns0:w="82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La IA no decide el estado final; el motor de reglas lo determina en código.</ns0:t>
            </ns0:r>
          </ns0:p>
        </ns0:tc>
      </ns0:tr>
      <ns0:tr>
        <ns0:tc>
          <ns0:tcPr>
            <ns0:tcW ns0:type="dxa" ns0:w="11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RN-002</ns0:t>
            </ns0:r>
          </ns0:p>
        </ns0:tc>
        <ns0:tc>
          <ns0:tcPr>
            <ns0:tcW ns0:type="dxa" ns0:w="82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La IA visual es la fuente principal de estructura, metadatos y productos; OCR aporta legibilidad, RawText, fecha, total, contraste y diagnóstico.</ns0:t>
            </ns0:r>
          </ns0:p>
        </ns0:tc>
      </ns0:tr>
      <ns0:tr>
        <ns0:tc>
          <ns0:tcPr>
            <ns0:tcW ns0:type="dxa" ns0:w="11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RN-003</ns0:t>
            </ns0:r>
          </ns0:p>
        </ns0:tc>
        <ns0:tc>
          <ns0:tcPr>
            <ns0:tcW ns0:type="dxa" ns0:w="82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APPROVED / OK requiere DateMatch = true y TotalMatch = true. La ausencia de una fuente implica REVIEW_REQUIRED / OCR_LOW_CONFIDENCE; la ausencia de ambas, ERR_SIN_FECHA o ERR_SIN_TOTAL.</ns0:t>
            </ns0:r>
          </ns0:p>
        </ns0:tc>
      </ns0:tr>
      <ns0:tr>
        <ns0:tc>
          <ns0:tcPr>
            <ns0:tcW ns0:type="dxa" ns0:w="11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RN-004</ns0:t>
            </ns0:r>
          </ns0:p>
        </ns0:tc>
        <ns0:tc>
          <ns0:tcPr>
            <ns0:tcW ns0:type="dxa" ns0:w="82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Una bebida alcohólica confirmada en una línea visual de producto produce REJECTED / ERR_BEBIDA_ALCOHOLICA. CEREZAS, Bar La Cerveza y Empleado: Vino no lo activan; LICOR DE CEREZAS y una cerveza real sí pueden hacerlo.</ns0:t>
            </ns0:r>
          </ns0:p>
        </ns0:tc>
      </ns0:tr>
      <ns0:tr>
        <ns0:tc>
          <ns0:tcPr>
            <ns0:tcW ns0:type="dxa" ns0:w="11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RN-005</ns0:t>
            </ns0:r>
          </ns0:p>
        </ns0:tc>
        <ns0:tc>
          <ns0:tcPr>
            <ns0:tcW ns0:type="dxa" ns0:w="82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ERR_TIPO_GASTO_INCOHERENTE se aplica cuando la mayoría de la compra es claramente incompatible con ExpenseType; la IA analiza semánticamente y el código decide.</ns0:t>
            </ns0:r>
          </ns0:p>
        </ns0:tc>
      </ns0:tr>
      <ns0:tr>
        <ns0:tc>
          <ns0:tcPr>
            <ns0:tcW ns0:type="dxa" ns0:w="11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RN-006</ns0:t>
            </ns0:r>
          </ns0:p>
        </ns0:tc>
        <ns0:tc>
          <ns0:tcPr>
            <ns0:tcW ns0:type="dxa" ns0:w="82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Para Meals, Diet, Breakfast, Lunch, Dinner y Material, la ausencia de CIF/NIF produce REVIEW_REQUIRED / ERR_SIN_CIF; no bloquea por sí sola Parking, Highway, Taxi, Fuel, Accommodation, Other o Unknown.</ns0:t>
            </ns0:r>
          </ns0:p>
        </ns0:tc>
      </ns0:tr>
      <ns0:tr>
        <ns0:tc>
          <ns0:tcPr>
            <ns0:tcW ns0:type="dxa" ns0:w="11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RN-007</ns0:t>
            </ns0:r>
          </ns0:p>
        </ns0:tc>
        <ns0:tc>
          <ns0:tcPr>
            <ns0:tcW ns0:type="dxa" ns0:w="82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Solo con DateMatch = true: fecha futura produce REVIEW_REQUIRED / ERR_FECHA_FUTURA y fecha de un año anterior, REVIEW_REQUIRED / ERR_FECHA_ANTIGUA. Una fecha del año actual no es antigua.</ns0:t>
            </ns0:r>
          </ns0:p>
        </ns0:tc>
      </ns0:tr>
    </ns0:tbl>
    <ns0:p>
      <ns0:pPr>
        <ns0:spacing ns0:after="40"/>
      </ns0:pPr>
    </ns0:p>
    <ns0:p>
      <ns0:pPr>
        <ns0:pStyle ns0:val="Heading1"/>
        <ns0:keepNext/>
      </ns0:pPr>
      <ns0:r>
        <ns0:rPr>
          <ns0:rFonts ns0:ascii="Calibri" ns0:hAnsi="Calibri"/>
          <ns0:b/>
          <ns0:i ns0:val="0"/>
          <ns0:color ns0:val="2E74B5"/>
          <ns0:sz ns0:val="32"/>
        </ns0:rPr>
        <ns0:t>11. Requisitos no funcionales</ns0:t>
      </ns0:r>
    </ns0:p>
    <ns0:tbl>
      <ns0:tblPr>
        <ns0:tblStyle ns0:val="TableGrid"/>
        <ns0:tblW ns0:type="auto" ns0:w="0"/>
        <ns0:jc ns0:val="left"/>
        <ns0:tblLayout ns0:type="fixed"/>
        <ns0:tblLook ns0:firstColumn="1" ns0:firstRow="1" ns0:lastColumn="0" ns0:lastRow="0" ns0:noHBand="0" ns0:noVBand="1" ns0:val="04A0"/>
        <ns0:tblInd ns0:w="120" ns0:type="dxa"/>
      </ns0:tblPr>
      <ns0:tblGrid>
        <ns0:gridCol ns0:w="4680"/>
        <ns0:gridCol ns0:w="4680"/>
      </ns0:tblGrid>
      <ns0:tr>
        <ns0:tc>
          <ns0:tcPr>
            <ns0:tcW ns0:type="dxa" ns0:w="1100"/>
            <ns0:shd ns0:fill="E8EEF5"/>
            <ns0:tcMar>
              <ns0:top ns0:w="80" ns0:type="dxa"/>
              <ns0:start ns0:w="120" ns0:type="dxa"/>
              <ns0:bottom ns0:w="80" ns0:type="dxa"/>
              <ns0:end ns0:w="120" ns0:type="dxa"/>
            </ns0:tcMar>
            <ns0:vAlign ns0:val="center"/>
          </ns0:tcPr>
          <ns0:p>
            <ns0:pPr>
              <ns0:spacing ns0:after="0"/>
            </ns0:pPr>
            <ns0:r>
              <ns0:rPr>
                <ns0:rFonts ns0:ascii="Calibri" ns0:hAnsi="Calibri"/>
                <ns0:b/>
                <ns0:i ns0:val="0"/>
                <ns0:color ns0:val="1F4D78"/>
                <ns0:sz ns0:val="20"/>
              </ns0:rPr>
              <ns0:t>ID</ns0:t>
            </ns0:r>
          </ns0:p>
        </ns0:tc>
        <ns0:tc>
          <ns0:tcPr>
            <ns0:tcW ns0:type="dxa" ns0:w="8260"/>
            <ns0:shd ns0:fill="E8EEF5"/>
            <ns0:tcMar>
              <ns0:top ns0:w="80" ns0:type="dxa"/>
              <ns0:start ns0:w="120" ns0:type="dxa"/>
              <ns0:bottom ns0:w="80" ns0:type="dxa"/>
              <ns0:end ns0:w="120" ns0:type="dxa"/>
            </ns0:tcMar>
            <ns0:vAlign ns0:val="center"/>
          </ns0:tcPr>
          <ns0:p>
            <ns0:pPr>
              <ns0:spacing ns0:after="0"/>
            </ns0:pPr>
            <ns0:r>
              <ns0:rPr>
                <ns0:rFonts ns0:ascii="Calibri" ns0:hAnsi="Calibri"/>
                <ns0:b/>
                <ns0:i ns0:val="0"/>
                <ns0:color ns0:val="1F4D78"/>
                <ns0:sz ns0:val="20"/>
              </ns0:rPr>
              <ns0:t>Requisito</ns0:t>
            </ns0:r>
          </ns0:p>
        </ns0:tc>
      </ns0:tr>
      <ns0:tr>
        <ns0:tc>
          <ns0:tcPr>
            <ns0:tcW ns0:type="dxa" ns0:w="11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RNF-001</ns0:t>
            </ns0:r>
          </ns0:p>
        </ns0:tc>
        <ns0:tc>
          <ns0:tcPr>
            <ns0:tcW ns0:type="dxa" ns0:w="82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La solución se implementará en C# sobre ASP.NET Core.</ns0:t>
            </ns0:r>
          </ns0:p>
        </ns0:tc>
      </ns0:tr>
      <ns0:tr>
        <ns0:tc>
          <ns0:tcPr>
            <ns0:tcW ns0:type="dxa" ns0:w="11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RNF-002</ns0:t>
            </ns0:r>
          </ns0:p>
        </ns0:tc>
        <ns0:tc>
          <ns0:tcPr>
            <ns0:tcW ns0:type="dxa" ns0:w="82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El diseño separará API, aplicación, dominio, infraestructura y pruebas, con dependencias orientadas a interfaces.</ns0:t>
            </ns0:r>
          </ns0:p>
        </ns0:tc>
      </ns0:tr>
      <ns0:tr>
        <ns0:tc>
          <ns0:tcPr>
            <ns0:tcW ns0:type="dxa" ns0:w="11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RNF-003</ns0:t>
            </ns0:r>
          </ns0:p>
        </ns0:tc>
        <ns0:tc>
          <ns0:tcPr>
            <ns0:tcW ns0:type="dxa" ns0:w="82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Las reglas de negocio deberán poder probarse sin Tesseract ni llamadas reales a OpenAI.</ns0:t>
            </ns0:r>
          </ns0:p>
        </ns0:tc>
      </ns0:tr>
      <ns0:tr>
        <ns0:tc>
          <ns0:tcPr>
            <ns0:tcW ns0:type="dxa" ns0:w="11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RNF-004</ns0:t>
            </ns0:r>
          </ns0:p>
        </ns0:tc>
        <ns0:tc>
          <ns0:tcPr>
            <ns0:tcW ns0:type="dxa" ns0:w="82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Se utilizará xUnit; la suite final ejecuta 233 pruebas correctas mediante dotnet test --configuration Release.</ns0:t>
            </ns0:r>
          </ns0:p>
        </ns0:tc>
      </ns0:tr>
      <ns0:tr>
        <ns0:tc>
          <ns0:tcPr>
            <ns0:tcW ns0:type="dxa" ns0:w="11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RNF-005</ns0:t>
            </ns0:r>
          </ns0:p>
        </ns0:tc>
        <ns0:tc>
          <ns0:tcPr>
            <ns0:tcW ns0:type="dxa" ns0:w="82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La API se empaqueta y valida con Docker, y está desplegada en Render Web Service mediante Docker y la rama main.</ns0:t>
            </ns0:r>
          </ns0:p>
        </ns0:tc>
      </ns0:tr>
      <ns0:tr>
        <ns0:tc>
          <ns0:tcPr>
            <ns0:tcW ns0:type="dxa" ns0:w="11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RNF-006</ns0:t>
            </ns0:r>
          </ns0:p>
        </ns0:tc>
        <ns0:tc>
          <ns0:tcPr>
            <ns0:tcW ns0:type="dxa" ns0:w="82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Las claves de OpenAI no se incluirán en código ni logs; Render utiliza OpenAI__ApiKey y nunca se documenta una clave real.</ns0:t>
            </ns0:r>
          </ns0:p>
        </ns0:tc>
      </ns0:tr>
      <ns0:tr>
        <ns0:tc>
          <ns0:tcPr>
            <ns0:tcW ns0:type="dxa" ns0:w="11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RNF-007</ns0:t>
            </ns0:r>
          </ns0:p>
        </ns0:tc>
        <ns0:tc>
          <ns0:tcPr>
            <ns0:tcW ns0:type="dxa" ns0:w="82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Los logs incluirán al menos fecha/hora, AnalysisId, estado, código, duración y error técnico cuando exista.</ns0:t>
            </ns0:r>
          </ns0:p>
        </ns0:tc>
      </ns0:tr>
      <ns0:tr>
        <ns0:tc>
          <ns0:tcPr>
            <ns0:tcW ns0:type="dxa" ns0:w="11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RNF-008</ns0:t>
            </ns0:r>
          </ns0:p>
        </ns0:tc>
        <ns0:tc>
          <ns0:tcPr>
            <ns0:tcW ns0:type="dxa" ns0:w="82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El servicio devolverá mensajes trazables y no expondrá información sensible ni secretos.</ns0:t>
            </ns0:r>
          </ns0:p>
        </ns0:tc>
      </ns0:tr>
    </ns0:tbl>
    <ns0:p>
      <ns0:pPr>
        <ns0:spacing ns0:after="40"/>
      </ns0:pPr>
    </ns0:p>
    <ns0:p>
      <ns0:pPr>
        <ns0:pStyle ns0:val="Heading1"/>
        <ns0:keepNext/>
      </ns0:pPr>
      <ns0:r>
        <ns0:rPr>
          <ns0:rFonts ns0:ascii="Calibri" ns0:hAnsi="Calibri"/>
          <ns0:b/>
          <ns0:i ns0:val="0"/>
          <ns0:color ns0:val="2E74B5"/>
          <ns0:sz ns0:val="32"/>
        </ns0:rPr>
        <ns0:t>12. Estados y códigos</ns0:t>
      </ns0:r>
    </ns0:p>
    <ns0:tbl>
      <ns0:tblPr>
        <ns0:tblStyle ns0:val="TableGrid"/>
        <ns0:tblW ns0:type="auto" ns0:w="0"/>
        <ns0:jc ns0:val="left"/>
        <ns0:tblLayout ns0:type="fixed"/>
        <ns0:tblLook ns0:firstColumn="1" ns0:firstRow="1" ns0:lastColumn="0" ns0:lastRow="0" ns0:noHBand="0" ns0:noVBand="1" ns0:val="04A0"/>
        <ns0:tblInd ns0:w="120" ns0:type="dxa"/>
      </ns0:tblPr>
      <ns0:tblGrid>
        <ns0:gridCol ns0:w="4680"/>
        <ns0:gridCol ns0:w="4680"/>
      </ns0:tblGrid>
      <ns0:tr>
        <ns0:tc>
          <ns0:tcPr>
            <ns0:tcW ns0:type="dxa" ns0:w="2300"/>
            <ns0:shd ns0:fill="E8EEF5"/>
            <ns0:tcMar>
              <ns0:top ns0:w="80" ns0:type="dxa"/>
              <ns0:start ns0:w="120" ns0:type="dxa"/>
              <ns0:bottom ns0:w="80" ns0:type="dxa"/>
              <ns0:end ns0:w="120" ns0:type="dxa"/>
            </ns0:tcMar>
            <ns0:vAlign ns0:val="center"/>
          </ns0:tcPr>
          <ns0:p>
            <ns0:pPr>
              <ns0:spacing ns0:after="0"/>
            </ns0:pPr>
            <ns0:r>
              <ns0:rPr>
                <ns0:rFonts ns0:ascii="Calibri" ns0:hAnsi="Calibri"/>
                <ns0:b/>
                <ns0:i ns0:val="0"/>
                <ns0:color ns0:val="1F4D78"/>
                <ns0:sz ns0:val="20"/>
              </ns0:rPr>
              <ns0:t>Estado</ns0:t>
            </ns0:r>
          </ns0:p>
        </ns0:tc>
        <ns0:tc>
          <ns0:tcPr>
            <ns0:tcW ns0:type="dxa" ns0:w="7060"/>
            <ns0:shd ns0:fill="E8EEF5"/>
            <ns0:tcMar>
              <ns0:top ns0:w="80" ns0:type="dxa"/>
              <ns0:start ns0:w="120" ns0:type="dxa"/>
              <ns0:bottom ns0:w="80" ns0:type="dxa"/>
              <ns0:end ns0:w="120" ns0:type="dxa"/>
            </ns0:tcMar>
            <ns0:vAlign ns0:val="center"/>
          </ns0:tcPr>
          <ns0:p>
            <ns0:pPr>
              <ns0:spacing ns0:after="0"/>
            </ns0:pPr>
            <ns0:r>
              <ns0:rPr>
                <ns0:rFonts ns0:ascii="Calibri" ns0:hAnsi="Calibri"/>
                <ns0:b/>
                <ns0:i ns0:val="0"/>
                <ns0:color ns0:val="1F4D78"/>
                <ns0:sz ns0:val="20"/>
              </ns0:rPr>
              <ns0:t>Significado</ns0:t>
            </ns0:r>
          </ns0:p>
        </ns0:tc>
      </ns0:tr>
      <ns0:tr>
        <ns0:tc>
          <ns0:tcPr>
            <ns0:tcW ns0:type="dxa" ns0:w="23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APPROVED</ns0:t>
            </ns0:r>
          </ns0:p>
        </ns0:tc>
        <ns0:tc>
          <ns0:tcPr>
            <ns0:tcW ns0:type="dxa" ns0:w="70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El documento cumple las reglas aplicables con evidencia suficiente.</ns0:t>
            </ns0:r>
          </ns0:p>
        </ns0:tc>
      </ns0:tr>
      <ns0:tr>
        <ns0:tc>
          <ns0:tcPr>
            <ns0:tcW ns0:type="dxa" ns0:w="23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REJECTED</ns0:t>
            </ns0:r>
          </ns0:p>
        </ns0:tc>
        <ns0:tc>
          <ns0:tcPr>
            <ns0:tcW ns0:type="dxa" ns0:w="70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Existe una regla de rechazo comprobada.</ns0:t>
            </ns0:r>
          </ns0:p>
        </ns0:tc>
      </ns0:tr>
      <ns0:tr>
        <ns0:tc>
          <ns0:tcPr>
            <ns0:tcW ns0:type="dxa" ns0:w="23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REVIEW_REQUIRED</ns0:t>
            </ns0:r>
          </ns0:p>
        </ns0:tc>
        <ns0:tc>
          <ns0:tcPr>
            <ns0:tcW ns0:type="dxa" ns0:w="70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Hay incertidumbre o discrepancia en un campo crítico; requiere revisión humana.</ns0:t>
            </ns0:r>
          </ns0:p>
        </ns0:tc>
      </ns0:tr>
      <ns0:tr>
        <ns0:tc>
          <ns0:tcPr>
            <ns0:tcW ns0:type="dxa" ns0:w="23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UNREADABLE</ns0:t>
            </ns0:r>
          </ns0:p>
        </ns0:tc>
        <ns0:tc>
          <ns0:tcPr>
            <ns0:tcW ns0:type="dxa" ns0:w="70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La evidencia disponible no permite leer o validar el documento de forma suficiente.</ns0:t>
            </ns0:r>
          </ns0:p>
        </ns0:tc>
      </ns0:tr>
      <ns0:tr>
        <ns0:tc>
          <ns0:tcPr>
            <ns0:tcW ns0:type="dxa" ns0:w="23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PROCESSING_ERROR</ns0:t>
            </ns0:r>
          </ns0:p>
        </ns0:tc>
        <ns0:tc>
          <ns0:tcPr>
            <ns0:tcW ns0:type="dxa" ns0:w="70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Ha fallado una dependencia o el procesamiento técnico.</ns0:t>
            </ns0:r>
          </ns0:p>
        </ns0:tc>
      </ns0:tr>
    </ns0:tbl>
    <ns0:p>
      <ns0:pPr>
        <ns0:spacing ns0:after="40"/>
      </ns0:pPr>
    </ns0:p>
    <ns0:tbl>
      <ns0:tblPr>
        <ns0:tblStyle ns0:val="TableGrid"/>
        <ns0:tblW ns0:type="auto" ns0:w="0"/>
        <ns0:jc ns0:val="left"/>
        <ns0:tblLayout ns0:type="fixed"/>
        <ns0:tblLook ns0:firstColumn="1" ns0:firstRow="1" ns0:lastColumn="0" ns0:lastRow="0" ns0:noHBand="0" ns0:noVBand="1" ns0:val="04A0"/>
        <ns0:tblInd ns0:w="120" ns0:type="dxa"/>
      </ns0:tblPr>
      <ns0:tblGrid>
        <ns0:gridCol ns0:w="4680"/>
        <ns0:gridCol ns0:w="4680"/>
      </ns0:tblGrid>
      <ns0:tr>
        <ns0:tc>
          <ns0:tcPr>
            <ns0:tcW ns0:type="dxa" ns0:w="2700"/>
            <ns0:shd ns0:fill="E8EEF5"/>
            <ns0:tcMar>
              <ns0:top ns0:w="80" ns0:type="dxa"/>
              <ns0:start ns0:w="120" ns0:type="dxa"/>
              <ns0:bottom ns0:w="80" ns0:type="dxa"/>
              <ns0:end ns0:w="120" ns0:type="dxa"/>
            </ns0:tcMar>
            <ns0:vAlign ns0:val="center"/>
          </ns0:tcPr>
          <ns0:p>
            <ns0:pPr>
              <ns0:spacing ns0:after="0"/>
            </ns0:pPr>
            <ns0:r>
              <ns0:rPr>
                <ns0:rFonts ns0:ascii="Calibri" ns0:hAnsi="Calibri"/>
                <ns0:b/>
                <ns0:i ns0:val="0"/>
                <ns0:color ns0:val="1F4D78"/>
                <ns0:sz ns0:val="20"/>
              </ns0:rPr>
              <ns0:t>Código</ns0:t>
            </ns0:r>
          </ns0:p>
        </ns0:tc>
        <ns0:tc>
          <ns0:tcPr>
            <ns0:tcW ns0:type="dxa" ns0:w="6660"/>
            <ns0:shd ns0:fill="E8EEF5"/>
            <ns0:tcMar>
              <ns0:top ns0:w="80" ns0:type="dxa"/>
              <ns0:start ns0:w="120" ns0:type="dxa"/>
              <ns0:bottom ns0:w="80" ns0:type="dxa"/>
              <ns0:end ns0:w="120" ns0:type="dxa"/>
            </ns0:tcMar>
            <ns0:vAlign ns0:val="center"/>
          </ns0:tcPr>
          <ns0:p>
            <ns0:pPr>
              <ns0:spacing ns0:after="0"/>
            </ns0:pPr>
            <ns0:r>
              <ns0:rPr>
                <ns0:rFonts ns0:ascii="Calibri" ns0:hAnsi="Calibri"/>
                <ns0:b/>
                <ns0:i ns0:val="0"/>
                <ns0:color ns0:val="1F4D78"/>
                <ns0:sz ns0:val="20"/>
              </ns0:rPr>
              <ns0:t>Uso</ns0:t>
            </ns0:r>
          </ns0:p>
        </ns0:tc>
      </ns0:tr>
      <ns0:tr>
        <ns0:tc>
          <ns0:tcPr>
            <ns0:tcW ns0:type="dxa" ns0:w="27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OK</ns0:t>
            </ns0:r>
          </ns0:p>
        </ns0:tc>
        <ns0:tc>
          <ns0:tcPr>
            <ns0:tcW ns0:type="dxa" ns0:w="66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Resultado aprobado.</ns0:t>
            </ns0:r>
          </ns0:p>
        </ns0:tc>
      </ns0:tr>
      <ns0:tr>
        <ns0:tc>
          <ns0:tcPr>
            <ns0:tcW ns0:type="dxa" ns0:w="27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ERR_NO_DOCUMENTO</ns0:t>
            </ns0:r>
          </ns0:p>
        </ns0:tc>
        <ns0:tc>
          <ns0:tcPr>
            <ns0:tcW ns0:type="dxa" ns0:w="66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No se identifica un ticket o factura.</ns0:t>
            </ns0:r>
          </ns0:p>
        </ns0:tc>
      </ns0:tr>
      <ns0:tr>
        <ns0:tc>
          <ns0:tcPr>
            <ns0:tcW ns0:type="dxa" ns0:w="27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ERR_NO_LEGIBLE</ns0:t>
            </ns0:r>
          </ns0:p>
        </ns0:tc>
        <ns0:tc>
          <ns0:tcPr>
            <ns0:tcW ns0:type="dxa" ns0:w="66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No hay evidencia legible suficiente.</ns0:t>
            </ns0:r>
          </ns0:p>
        </ns0:tc>
      </ns0:tr>
      <ns0:tr>
        <ns0:tc>
          <ns0:tcPr>
            <ns0:tcW ns0:type="dxa" ns0:w="27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ERR_DOCUMENTO_MANIPULADO</ns0:t>
            </ns0:r>
          </ns0:p>
        </ns0:tc>
        <ns0:tc>
          <ns0:tcPr>
            <ns0:tcW ns0:type="dxa" ns0:w="66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Existen indicios visuales de manipulación.</ns0:t>
            </ns0:r>
          </ns0:p>
        </ns0:tc>
      </ns0:tr>
      <ns0:tr>
        <ns0:tc>
          <ns0:tcPr>
            <ns0:tcW ns0:type="dxa" ns0:w="27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ERR_BEBIDA_ALCOHOLICA</ns0:t>
            </ns0:r>
          </ns0:p>
        </ns0:tc>
        <ns0:tc>
          <ns0:tcPr>
            <ns0:tcW ns0:type="dxa" ns0:w="66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Se detecta una bebida alcohólica confirmada en un producto visual.</ns0:t>
            </ns0:r>
          </ns0:p>
        </ns0:tc>
      </ns0:tr>
      <ns0:tr>
        <ns0:tc>
          <ns0:tcPr>
            <ns0:tcW ns0:type="dxa" ns0:w="27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ERR_TIPO_GASTO_INCOHERENTE</ns0:t>
            </ns0:r>
          </ns0:p>
        </ns0:tc>
        <ns0:tc>
          <ns0:tcPr>
            <ns0:tcW ns0:type="dxa" ns0:w="66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La mayoría de la compra es claramente incompatible con el tipo de gasto.</ns0:t>
            </ns0:r>
          </ns0:p>
        </ns0:tc>
      </ns0:tr>
      <ns0:tr>
        <ns0:tc>
          <ns0:tcPr>
            <ns0:tcW ns0:type="dxa" ns0:w="27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ERR_SIN_TOTAL</ns0:t>
            </ns0:r>
          </ns0:p>
        </ns0:tc>
        <ns0:tc>
          <ns0:tcPr>
            <ns0:tcW ns0:type="dxa" ns0:w="66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No existe total visual ni OCR utilizable.</ns0:t>
            </ns0:r>
          </ns0:p>
        </ns0:tc>
      </ns0:tr>
      <ns0:tr>
        <ns0:tc>
          <ns0:tcPr>
            <ns0:tcW ns0:type="dxa" ns0:w="27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ERR_SIN_FECHA</ns0:t>
            </ns0:r>
          </ns0:p>
        </ns0:tc>
        <ns0:tc>
          <ns0:tcPr>
            <ns0:tcW ns0:type="dxa" ns0:w="66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No existe fecha visual ni OCR utilizable.</ns0:t>
            </ns0:r>
          </ns0:p>
        </ns0:tc>
      </ns0:tr>
      <ns0:tr>
        <ns0:tc>
          <ns0:tcPr>
            <ns0:tcW ns0:type="dxa" ns0:w="27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ERR_SIN_CIF</ns0:t>
            </ns0:r>
          </ns0:p>
        </ns0:tc>
        <ns0:tc>
          <ns0:tcPr>
            <ns0:tcW ns0:type="dxa" ns0:w="66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Falta CIF/NIF cuando es obligatorio.</ns0:t>
            </ns0:r>
          </ns0:p>
        </ns0:tc>
      </ns0:tr>
      <ns0:tr>
        <ns0:tc>
          <ns0:tcPr>
            <ns0:tcW ns0:type="dxa" ns0:w="27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ERR_FECHA_ANTIGUA</ns0:t>
            </ns0:r>
          </ns0:p>
        </ns0:tc>
        <ns0:tc>
          <ns0:tcPr>
            <ns0:tcW ns0:type="dxa" ns0:w="66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Fecha corroborada de un año anterior.</ns0:t>
            </ns0:r>
          </ns0:p>
        </ns0:tc>
      </ns0:tr>
      <ns0:tr>
        <ns0:tc>
          <ns0:tcPr>
            <ns0:tcW ns0:type="dxa" ns0:w="27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ERR_FECHA_FUTURA</ns0:t>
            </ns0:r>
          </ns0:p>
        </ns0:tc>
        <ns0:tc>
          <ns0:tcPr>
            <ns0:tcW ns0:type="dxa" ns0:w="66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Fecha corroborada futura.</ns0:t>
            </ns0:r>
          </ns0:p>
        </ns0:tc>
      </ns0:tr>
      <ns0:tr>
        <ns0:tc>
          <ns0:tcPr>
            <ns0:tcW ns0:type="dxa" ns0:w="27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DOCUMENT_TYPE_MISMATCH</ns0:t>
            </ns0:r>
          </ns0:p>
        </ns0:tc>
        <ns0:tc>
          <ns0:tcPr>
            <ns0:tcW ns0:type="dxa" ns0:w="66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La clasificación visual del tipo documental es inconsistente.</ns0:t>
            </ns0:r>
          </ns0:p>
        </ns0:tc>
      </ns0:tr>
      <ns0:tr>
        <ns0:tc>
          <ns0:tcPr>
            <ns0:tcW ns0:type="dxa" ns0:w="27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DATE_MISMATCH</ns0:t>
            </ns0:r>
          </ns0:p>
        </ns0:tc>
        <ns0:tc>
          <ns0:tcPr>
            <ns0:tcW ns0:type="dxa" ns0:w="66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IA visual y OCR discrepan en la fecha.</ns0:t>
            </ns0:r>
          </ns0:p>
        </ns0:tc>
      </ns0:tr>
      <ns0:tr>
        <ns0:tc>
          <ns0:tcPr>
            <ns0:tcW ns0:type="dxa" ns0:w="27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TOTAL_MISMATCH</ns0:t>
            </ns0:r>
          </ns0:p>
        </ns0:tc>
        <ns0:tc>
          <ns0:tcPr>
            <ns0:tcW ns0:type="dxa" ns0:w="66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IA visual y OCR discrepan en el total.</ns0:t>
            </ns0:r>
          </ns0:p>
        </ns0:tc>
      </ns0:tr>
      <ns0:tr>
        <ns0:tc>
          <ns0:tcPr>
            <ns0:tcW ns0:type="dxa" ns0:w="27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OCR_LOW_CONFIDENCE</ns0:t>
            </ns0:r>
          </ns0:p>
        </ns0:tc>
        <ns0:tc>
          <ns0:tcPr>
            <ns0:tcW ns0:type="dxa" ns0:w="66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Falta corroboración independiente de un campo crítico.</ns0:t>
            </ns0:r>
          </ns0:p>
        </ns0:tc>
      </ns0:tr>
    </ns0:tbl>
    <ns0:p>
      <ns0:pPr>
        <ns0:spacing ns0:after="40"/>
      </ns0:pPr>
    </ns0:p>
    <ns0:p>
      <ns0:pPr>
        <ns0:pStyle ns0:val="Heading1"/>
        <ns0:keepNext/>
      </ns0:pPr>
      <ns0:r>
        <ns0:rPr>
          <ns0:rFonts ns0:ascii="Calibri" ns0:hAnsi="Calibri"/>
          <ns0:b/>
          <ns0:i ns0:val="0"/>
          <ns0:color ns0:val="2E74B5"/>
          <ns0:sz ns0:val="32"/>
        </ns0:rPr>
        <ns0:t>13. Modelo interno simple</ns0:t>
      </ns0:r>
    </ns0:p>
    <ns0:p>
      <ns0:pPr>
        <ns0:spacing ns0:after="120" ns0:line="264" ns0:lineRule="auto"/>
      </ns0:pPr>
      <ns0:r>
        <ns0:rPr>
          <ns0:rFonts ns0:ascii="Calibri" ns0:hAnsi="Calibri"/>
          <ns0:b ns0:val="0"/>
          <ns0:i ns0:val="0"/>
          <ns0:sz ns0:val="22"/>
        </ns0:rPr>
        <ns0:t xml:space="preserve">El modelo interno desacopla los resultados de OCR, IA visual y respuesta REST. Se mantiene en un conjunto reducido de objetos: TicketData, ProductData, AddressData, VatData, VerificationData y AnalysisDecision.</ns0:t>
      </ns0:r>
    </ns0:p>
    <ns0:p>
      <ns0:pPr>
        <ns0:spacing ns0:after="120" ns0:line="240" ns0:lineRule="auto"/>
        <ns0:ind ns0:left="259"/>
      </ns0:pPr>
      <ns0:r>
        <ns0:rPr>
          <ns0:rFonts ns0:ascii="Consolas" ns0:hAnsi="Consolas"/>
          <ns0:sz ns0:val="17"/>
        </ns0:rPr>
        <ns0:t xml:space="preserve">TicketData { documentType, establishmentName, taxId, invoiceNumber, date, time, total, address, vatDetails, products[] }
ProductData { concept, normalizedText, amount, category, isAlcohol }
VerificationData { ocrReadable, ocrRawText, dateMatch, ocrDate, visualDate, totalMatch, ocrTotal, visualTotal, manipulationDetected }</ns0:t>
        <ns0:br/>
        <ns0:t xml:space="preserve"/>
        <ns0:br/>
        <ns0:t/>
        <ns0:br/>
        <ns0:t/>
        <ns0:br/>
        <ns0:t xml:space="preserve"/>
      </ns0:r>
    </ns0:p>
    <ns0:p>
      <ns0:pPr>
        <ns0:pStyle ns0:val="Heading1"/>
        <ns0:keepNext/>
      </ns0:pPr>
      <ns0:r>
        <ns0:rPr>
          <ns0:rFonts ns0:ascii="Calibri" ns0:hAnsi="Calibri"/>
          <ns0:b/>
          <ns0:i ns0:val="0"/>
          <ns0:color ns0:val="2E74B5"/>
          <ns0:sz ns0:val="32"/>
        </ns0:rPr>
        <ns0:t xml:space="preserve">14. Contrato REST definitivo</ns0:t>
      </ns0:r>
    </ns0:p>
    <ns0:p>
      <ns0:pPr>
        <ns0:spacing ns0:after="120" ns0:line="264" ns0:lineRule="auto"/>
      </ns0:pPr>
      <ns0:r>
        <ns0:rPr>
          <ns0:rFonts ns0:ascii="Calibri" ns0:hAnsi="Calibri"/>
          <ns0:b ns0:val="0"/>
          <ns0:i ns0:val="0"/>
          <ns0:sz ns0:val="22"/>
        </ns0:rPr>
        <ns0:t xml:space="preserve">Endpoint principal: POST /api/v1/tickets/analyze. El contrato usa multipart/form-data con los campos file y expenseType, y admite JPEG y PNG.</ns0:t>
      </ns0:r>
    </ns0:p>
    <ns0:p>
      <ns0:pPr>
        <ns0:spacing ns0:after="120" ns0:line="264" ns0:lineRule="auto"/>
      </ns0:pPr>
      <ns0:r>
        <ns0:rPr>
          <ns0:rFonts ns0:ascii="Calibri" ns0:hAnsi="Calibri"/>
          <ns0:b ns0:val="0"/>
          <ns0:i ns0:val="0"/>
          <ns0:sz ns0:val="22"/>
        </ns0:rPr>
        <ns0:t xml:space="preserve">Docker validado: docker build -t ticketvalidator .  |  docker run --rm -d --name ticketvalidator-api -p 8081:8080 -e OpenAI__ApiKey="&lt;TU_API_KEY&gt;" ticketvalidator. El valor de ejemplo no es una clave real.</ns0:t>
      </ns0:r>
    </ns0:p>
    <ns0:tbl>
      <ns0:tblPr>
        <ns0:tblStyle ns0:val="TableGrid"/>
        <ns0:tblW ns0:type="auto" ns0:w="0"/>
        <ns0:jc ns0:val="left"/>
        <ns0:tblLayout ns0:type="fixed"/>
        <ns0:tblLook ns0:firstColumn="1" ns0:firstRow="1" ns0:lastColumn="0" ns0:lastRow="0" ns0:noHBand="0" ns0:noVBand="1" ns0:val="04A0"/>
        <ns0:tblInd ns0:w="120" ns0:type="dxa"/>
      </ns0:tblPr>
      <ns0:tblGrid>
        <ns0:gridCol ns0:w="4680"/>
        <ns0:gridCol ns0:w="4680"/>
      </ns0:tblGrid>
      <ns0:tr>
        <ns0:tc>
          <ns0:tcPr>
            <ns0:tcW ns0:type="dxa" ns0:w="2200"/>
            <ns0:shd ns0:fill="E8EEF5"/>
            <ns0:tcMar>
              <ns0:top ns0:w="80" ns0:type="dxa"/>
              <ns0:start ns0:w="120" ns0:type="dxa"/>
              <ns0:bottom ns0:w="80" ns0:type="dxa"/>
              <ns0:end ns0:w="120" ns0:type="dxa"/>
            </ns0:tcMar>
            <ns0:vAlign ns0:val="center"/>
          </ns0:tcPr>
          <ns0:p>
            <ns0:pPr>
              <ns0:spacing ns0:after="0"/>
            </ns0:pPr>
            <ns0:r>
              <ns0:rPr>
                <ns0:rFonts ns0:ascii="Calibri" ns0:hAnsi="Calibri"/>
                <ns0:b/>
                <ns0:i ns0:val="0"/>
                <ns0:color ns0:val="1F4D78"/>
                <ns0:sz ns0:val="20"/>
              </ns0:rPr>
              <ns0:t>Elemento</ns0:t>
            </ns0:r>
          </ns0:p>
        </ns0:tc>
        <ns0:tc>
          <ns0:tcPr>
            <ns0:tcW ns0:type="dxa" ns0:w="7160"/>
            <ns0:shd ns0:fill="E8EEF5"/>
            <ns0:tcMar>
              <ns0:top ns0:w="80" ns0:type="dxa"/>
              <ns0:start ns0:w="120" ns0:type="dxa"/>
              <ns0:bottom ns0:w="80" ns0:type="dxa"/>
              <ns0:end ns0:w="120" ns0:type="dxa"/>
            </ns0:tcMar>
            <ns0:vAlign ns0:val="center"/>
          </ns0:tcPr>
          <ns0:p>
            <ns0:pPr>
              <ns0:spacing ns0:after="0"/>
            </ns0:pPr>
            <ns0:r>
              <ns0:rPr>
                <ns0:rFonts ns0:ascii="Calibri" ns0:hAnsi="Calibri"/>
                <ns0:b/>
                <ns0:i ns0:val="0"/>
                <ns0:color ns0:val="1F4D78"/>
                <ns0:sz ns0:val="20"/>
              </ns0:rPr>
              <ns0:t>Definición</ns0:t>
            </ns0:r>
          </ns0:p>
        </ns0:tc>
      </ns0:tr>
      <ns0:tr>
        <ns0:tc>
          <ns0:tcPr>
            <ns0:tcW ns0:type="dxa" ns0:w="22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Content-Type</ns0:t>
            </ns0:r>
          </ns0:p>
        </ns0:tc>
        <ns0:tc>
          <ns0:tcPr>
            <ns0:tcW ns0:type="dxa" ns0:w="71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multipart/form-data</ns0:t>
            </ns0:r>
          </ns0:p>
        </ns0:tc>
      </ns0:tr>
      <ns0:tr>
        <ns0:tc>
          <ns0:tcPr>
            <ns0:tcW ns0:type="dxa" ns0:w="22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file</ns0:t>
            </ns0:r>
          </ns0:p>
        </ns0:tc>
        <ns0:tc>
          <ns0:tcPr>
            <ns0:tcW ns0:type="dxa" ns0:w="71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Obligatorio. Image JPEG o PNG.</ns0:t>
            </ns0:r>
          </ns0:p>
        </ns0:tc>
      </ns0:tr>
      <ns0:tr>
        <ns0:tc>
          <ns0:tcPr>
            <ns0:tcW ns0:type="dxa" ns0:w="22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expenseType</ns0:t>
            </ns0:r>
          </ns0:p>
        </ns0:tc>
        <ns0:tc>
          <ns0:tcPr>
            <ns0:tcW ns0:type="dxa" ns0:w="71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Obligatorio. Tipo de gasto admitido por la API.</ns0:t>
            </ns0:r>
          </ns0:p>
        </ns0:tc>
      </ns0:tr>
      <ns0:tr>
        <ns0:tc>
          <ns0:tcPr>
            <ns0:tcW ns0:type="dxa" ns0:w="22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Respuesta</ns0:t>
            </ns0:r>
          </ns0:p>
        </ns0:tc>
        <ns0:tc>
          <ns0:tcPr>
            <ns0:tcW ns0:type="dxa" ns0:w="71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JSON con status, reasonCode, message, ticket y verification.</ns0:t>
            </ns0:r>
          </ns0:p>
        </ns0:tc>
      </ns0:tr>
    </ns0:tbl>
    <ns0:p>
      <ns0:pPr>
        <ns0:spacing ns0:after="40"/>
      </ns0:pPr>
    </ns0:p>
    <ns0:p>
      <ns0:pPr>
        <ns0:spacing ns0:after="120" ns0:line="240" ns0:lineRule="auto"/>
        <ns0:ind ns0:left="259"/>
      </ns0:pPr>
      <ns0:r>
        <ns0:rPr>
          <ns0:rFonts ns0:ascii="Consolas" ns0:hAnsi="Consolas"/>
          <ns0:sz ns0:val="17"/>
        </ns0:rPr>
        <ns0:t>{
  "status": "APPROVED",
  "reasonCode": "OK",
  "message": "Ticket aprobado; fecha y total corroborados.",
  "ticket": { "documentType": "TICKET", "date": "2026-08-16", "total": 12.50, "products": [] },
  "verification": { "ocrReadable": true, "dateMatch": true,
                    "visualDate": "2026-08-16", "ocrDate": "2026-08-16",
                    "totalMatch": true, "visualTotal": 12.50, "ocrTotal": 12.50,
                    "manipulationDetected": false }
}</ns0:t>
        <ns0:br/>
        <ns0:t xml:space="preserve"/>
        <ns0:br/>
        <ns0:t xml:space="preserve"/>
        <ns0:br/>
        <ns0:t xml:space="preserve"/>
        <ns0:br/>
        <ns0:t xml:space="preserve"/>
        <ns0:br/>
        <ns0:t xml:space="preserve"/>
        <ns0:br/>
        <ns0:t xml:space="preserve"/>
        <ns0:br/>
        <ns0:t xml:space="preserve"/>
        <ns0:br/>
        <ns0:t/>
      </ns0:r>
    </ns0:p>
    <ns0:p>
      <ns0:pPr>
        <ns0:pStyle ns0:val="Heading1"/>
        <ns0:keepNext/>
      </ns0:pPr>
      <ns0:r>
        <ns0:rPr>
          <ns0:rFonts ns0:ascii="Calibri" ns0:hAnsi="Calibri"/>
          <ns0:b/>
          <ns0:i ns0:val="0"/>
          <ns0:color ns0:val="2E74B5"/>
          <ns0:sz ns0:val="32"/>
        </ns0:rPr>
        <ns0:t>15. Casos problemáticos prioritarios</ns0:t>
      </ns0:r>
    </ns0:p>
    <ns0:tbl>
      <ns0:tblPr>
        <ns0:tblStyle ns0:val="TableGrid"/>
        <ns0:tblW ns0:type="auto" ns0:w="0"/>
        <ns0:jc ns0:val="left"/>
        <ns0:tblLayout ns0:type="fixed"/>
        <ns0:tblLook ns0:firstColumn="1" ns0:firstRow="1" ns0:lastColumn="0" ns0:lastRow="0" ns0:noHBand="0" ns0:noVBand="1" ns0:val="04A0"/>
        <ns0:tblInd ns0:w="120" ns0:type="dxa"/>
      </ns0:tblPr>
      <ns0:tblGrid>
        <ns0:gridCol ns0:w="3120"/>
        <ns0:gridCol ns0:w="3120"/>
        <ns0:gridCol ns0:w="3120"/>
      </ns0:tblGrid>
      <ns0:tr>
        <ns0:tc>
          <ns0:tcPr>
            <ns0:tcW ns0:type="dxa" ns0:w="900"/>
            <ns0:shd ns0:fill="E8EEF5"/>
            <ns0:tcMar>
              <ns0:top ns0:w="80" ns0:type="dxa"/>
              <ns0:start ns0:w="120" ns0:type="dxa"/>
              <ns0:bottom ns0:w="80" ns0:type="dxa"/>
              <ns0:end ns0:w="120" ns0:type="dxa"/>
            </ns0:tcMar>
            <ns0:vAlign ns0:val="center"/>
          </ns0:tcPr>
          <ns0:p>
            <ns0:pPr>
              <ns0:spacing ns0:after="0"/>
            </ns0:pPr>
            <ns0:r>
              <ns0:rPr>
                <ns0:rFonts ns0:ascii="Calibri" ns0:hAnsi="Calibri"/>
                <ns0:b/>
                <ns0:i ns0:val="0"/>
                <ns0:color ns0:val="1F4D78"/>
                <ns0:sz ns0:val="20"/>
              </ns0:rPr>
              <ns0:t>ID</ns0:t>
            </ns0:r>
          </ns0:p>
        </ns0:tc>
        <ns0:tc>
          <ns0:tcPr>
            <ns0:tcW ns0:type="dxa" ns0:w="3350"/>
            <ns0:shd ns0:fill="E8EEF5"/>
            <ns0:tcMar>
              <ns0:top ns0:w="80" ns0:type="dxa"/>
              <ns0:start ns0:w="120" ns0:type="dxa"/>
              <ns0:bottom ns0:w="80" ns0:type="dxa"/>
              <ns0:end ns0:w="120" ns0:type="dxa"/>
            </ns0:tcMar>
            <ns0:vAlign ns0:val="center"/>
          </ns0:tcPr>
          <ns0:p>
            <ns0:pPr>
              <ns0:spacing ns0:after="0"/>
            </ns0:pPr>
            <ns0:r>
              <ns0:rPr>
                <ns0:rFonts ns0:ascii="Calibri" ns0:hAnsi="Calibri"/>
                <ns0:b/>
                <ns0:i ns0:val="0"/>
                <ns0:color ns0:val="1F4D78"/>
                <ns0:sz ns0:val="20"/>
              </ns0:rPr>
              <ns0:t>Caso</ns0:t>
            </ns0:r>
          </ns0:p>
        </ns0:tc>
        <ns0:tc>
          <ns0:tcPr>
            <ns0:tcW ns0:type="dxa" ns0:w="5110"/>
            <ns0:shd ns0:fill="E8EEF5"/>
            <ns0:tcMar>
              <ns0:top ns0:w="80" ns0:type="dxa"/>
              <ns0:start ns0:w="120" ns0:type="dxa"/>
              <ns0:bottom ns0:w="80" ns0:type="dxa"/>
              <ns0:end ns0:w="120" ns0:type="dxa"/>
            </ns0:tcMar>
            <ns0:vAlign ns0:val="center"/>
          </ns0:tcPr>
          <ns0:p>
            <ns0:pPr>
              <ns0:spacing ns0:after="0"/>
            </ns0:pPr>
            <ns0:r>
              <ns0:rPr>
                <ns0:rFonts ns0:ascii="Calibri" ns0:hAnsi="Calibri"/>
                <ns0:b/>
                <ns0:i ns0:val="0"/>
                <ns0:color ns0:val="1F4D78"/>
                <ns0:sz ns0:val="20"/>
              </ns0:rPr>
              <ns0:t>Resultado esperado</ns0:t>
            </ns0:r>
          </ns0:p>
        </ns0:tc>
      </ns0:tr>
      <ns0:tr>
        <ns0:tc>
          <ns0:tcPr>
            <ns0:tcW ns0:type="dxa" ns0:w="9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CP-01</ns0:t>
            </ns0:r>
          </ns0:p>
        </ns0:tc>
        <ns0:tc>
          <ns0:tcPr>
            <ns0:tcW ns0:type="dxa" ns0:w="335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Ticket nítido y bien encuadrado</ns0:t>
            </ns0:r>
          </ns0:p>
        </ns0:tc>
        <ns0:tc>
          <ns0:tcPr>
            <ns0:tcW ns0:type="dxa" ns0:w="511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IA visual y OCR coinciden; DateMatch y TotalMatch son true y se aplica la regla correspondiente.</ns0:t>
            </ns0:r>
          </ns0:p>
        </ns0:tc>
      </ns0:tr>
      <ns0:tr>
        <ns0:tc>
          <ns0:tcPr>
            <ns0:tcW ns0:type="dxa" ns0:w="9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CP-02</ns0:t>
            </ns0:r>
          </ns0:p>
        </ns0:tc>
        <ns0:tc>
          <ns0:tcPr>
            <ns0:tcW ns0:type="dxa" ns0:w="335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Ticket girado 90/180/270 grados</ns0:t>
            </ns0:r>
          </ns0:p>
        </ns0:tc>
        <ns0:tc>
          <ns0:tcPr>
            <ns0:tcW ns0:type="dxa" ns0:w="511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OSD o fallback ortogonal selecciona la mejor orientación antes de OCR e IA visual.</ns0:t>
            </ns0:r>
          </ns0:p>
        </ns0:tc>
      </ns0:tr>
      <ns0:tr>
        <ns0:tc>
          <ns0:tcPr>
            <ns0:tcW ns0:type="dxa" ns0:w="9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CP-03</ns0:t>
            </ns0:r>
          </ns0:p>
        </ns0:tc>
        <ns0:tc>
          <ns0:tcPr>
            <ns0:tcW ns0:type="dxa" ns0:w="335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Foto tomada desde lejos</ns0:t>
            </ns0:r>
          </ns0:p>
        </ns0:tc>
        <ns0:tc>
          <ns0:tcPr>
            <ns0:tcW ns0:type="dxa" ns0:w="511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La IA visual puede leer campos, pero sin corroboración OCR el resultado requiere revisión.</ns0:t>
            </ns0:r>
          </ns0:p>
        </ns0:tc>
      </ns0:tr>
      <ns0:tr>
        <ns0:tc>
          <ns0:tcPr>
            <ns0:tcW ns0:type="dxa" ns0:w="9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CP-04</ns0:t>
            </ns0:r>
          </ns0:p>
        </ns0:tc>
        <ns0:tc>
          <ns0:tcPr>
            <ns0:tcW ns0:type="dxa" ns0:w="335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Ticket borroso</ns0:t>
            </ns0:r>
          </ns0:p>
        </ns0:tc>
        <ns0:tc>
          <ns0:tcPr>
            <ns0:tcW ns0:type="dxa" ns0:w="511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UNREADABLE solo si tampoco existe evidencia visual suficiente; no se inventan dígitos ni campos.</ns0:t>
            </ns0:r>
          </ns0:p>
        </ns0:tc>
      </ns0:tr>
      <ns0:tr>
        <ns0:tc>
          <ns0:tcPr>
            <ns0:tcW ns0:type="dxa" ns0:w="9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CP-05</ns0:t>
            </ns0:r>
          </ns0:p>
        </ns0:tc>
        <ns0:tc>
          <ns0:tcPr>
            <ns0:tcW ns0:type="dxa" ns0:w="335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Fecha visual y OCR distinta</ns0:t>
            </ns0:r>
          </ns0:p>
        </ns0:tc>
        <ns0:tc>
          <ns0:tcPr>
            <ns0:tcW ns0:type="dxa" ns0:w="511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REVIEW_REQUIRED con DATE_MISMATCH.</ns0:t>
            </ns0:r>
          </ns0:p>
        </ns0:tc>
      </ns0:tr>
      <ns0:tr>
        <ns0:tc>
          <ns0:tcPr>
            <ns0:tcW ns0:type="dxa" ns0:w="9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CP-06</ns0:t>
            </ns0:r>
          </ns0:p>
        </ns0:tc>
        <ns0:tc>
          <ns0:tcPr>
            <ns0:tcW ns0:type="dxa" ns0:w="335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Total visual y OCR distinto</ns0:t>
            </ns0:r>
          </ns0:p>
        </ns0:tc>
        <ns0:tc>
          <ns0:tcPr>
            <ns0:tcW ns0:type="dxa" ns0:w="511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REVIEW_REQUIRED con TOTAL_MISMATCH.</ns0:t>
            </ns0:r>
          </ns0:p>
        </ns0:tc>
      </ns0:tr>
      <ns0:tr>
        <ns0:tc>
          <ns0:tcPr>
            <ns0:tcW ns0:type="dxa" ns0:w="9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CP-07</ns0:t>
            </ns0:r>
          </ns0:p>
        </ns0:tc>
        <ns0:tc>
          <ns0:tcPr>
            <ns0:tcW ns0:type="dxa" ns0:w="335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«CEREZAS» clasificado como alcohol</ns0:t>
            </ns0:r>
          </ns0:p>
        </ns0:tc>
        <ns0:tc>
          <ns0:tcPr>
            <ns0:tcW ns0:type="dxa" ns0:w="511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No se rechaza: CEREZAS no es alcohol.</ns0:t>
            </ns0:r>
          </ns0:p>
        </ns0:tc>
      </ns0:tr>
      <ns0:tr>
        <ns0:tc>
          <ns0:tcPr>
            <ns0:tcW ns0:type="dxa" ns0:w="9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CP-08</ns0:t>
            </ns0:r>
          </ns0:p>
        </ns0:tc>
        <ns0:tc>
          <ns0:tcPr>
            <ns0:tcW ns0:type="dxa" ns0:w="335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«Bar La Cerveza» o empleado «Vino»</ns0:t>
            </ns0:r>
          </ns0:p>
        </ns0:tc>
        <ns0:tc>
          <ns0:tcPr>
            <ns0:tcW ns0:type="dxa" ns0:w="511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Bar La Cerveza, Empleado: Vino y CERVEZA 0,0 no se confunden con alcohol; LICOR DE CEREZAS sí puede serlo.</ns0:t>
            </ns0:r>
          </ns0:p>
        </ns0:tc>
      </ns0:tr>
      <ns0:tr>
        <ns0:tc>
          <ns0:tcPr>
            <ns0:tcW ns0:type="dxa" ns0:w="9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CP-09</ns0:t>
            </ns0:r>
          </ns0:p>
        </ns0:tc>
        <ns0:tc>
          <ns0:tcPr>
            <ns0:tcW ns0:type="dxa" ns0:w="335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«Cerveza Mahou» como línea de producto</ns0:t>
            </ns0:r>
          </ns0:p>
        </ns0:tc>
        <ns0:tc>
          <ns0:tcPr>
            <ns0:tcW ns0:type="dxa" ns0:w="511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REJECTED con ERR_BEBIDA_ALCOHOLICA si existe evidencia visual suficiente.</ns0:t>
            </ns0:r>
          </ns0:p>
        </ns0:tc>
      </ns0:tr>
      <ns0:tr>
        <ns0:tc>
          <ns0:tcPr>
            <ns0:tcW ns0:type="dxa" ns0:w="9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CP-10</ns0:t>
            </ns0:r>
          </ns0:p>
        </ns0:tc>
        <ns0:tc>
          <ns0:tcPr>
            <ns0:tcW ns0:type="dxa" ns0:w="335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Gasto Meals/Diet/Breakfast/Lunch/Dinner/Material sin CIF</ns0:t>
            </ns0:r>
          </ns0:p>
        </ns0:tc>
        <ns0:tc>
          <ns0:tcPr>
            <ns0:tcW ns0:type="dxa" ns0:w="511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REVIEW_REQUIRED con ERR_SIN_CIF cuando aplique; no es rechazo automático.</ns0:t>
            </ns0:r>
          </ns0:p>
        </ns0:tc>
      </ns0:tr>
    </ns0:tbl>
    <ns0:p>
      <ns0:pPr>
        <ns0:spacing ns0:after="40"/>
      </ns0:pPr>
    </ns0:p>
    <ns0:p>
      <ns0:pPr>
        <ns0:pStyle ns0:val="Heading1"/>
        <ns0:keepNext/>
      </ns0:pPr>
      <ns0:r>
        <ns0:rPr>
          <ns0:rFonts ns0:ascii="Calibri" ns0:hAnsi="Calibri"/>
          <ns0:b/>
          <ns0:i ns0:val="0"/>
          <ns0:color ns0:val="2E74B5"/>
          <ns0:sz ns0:val="32"/>
        </ns0:rPr>
        <ns0:t>16. Criterios de aceptación</ns0:t>
      </ns0:r>
    </ns0:p>
    <ns0:p>
      <ns0:pPr>
        <ns0:pStyle ns0:val="ListBullet"/>
        <ns0:spacing ns0:after="80" ns0:line="280" ns0:lineRule="auto"/>
      </ns0:pPr>
      <ns0:r>
        <ns0:rPr>
          <ns0:rFonts ns0:ascii="Calibri" ns0:hAnsi="Calibri"/>
          <ns0:b ns0:val="0"/>
          <ns0:i ns0:val="0"/>
          <ns0:sz ns0:val="22"/>
        </ns0:rPr>
        <ns0:t>Una petición válida con JPEG/PNG y tipo de gasto llega al flujo completo y produce una respuesta JSON documentada.</ns0:t>
      </ns0:r>
    </ns0:p>
    <ns0:p>
      <ns0:pPr>
        <ns0:pStyle ns0:val="ListBullet"/>
        <ns0:spacing ns0:after="80" ns0:line="280" ns0:lineRule="auto"/>
      </ns0:pPr>
      <ns0:r>
        <ns0:rPr>
          <ns0:rFonts ns0:ascii="Calibri" ns0:hAnsi="Calibri"/>
          <ns0:b ns0:val="0"/>
          <ns0:i ns0:val="0"/>
          <ns0:sz ns0:val="22"/>
        </ns0:rPr>
        <ns0:t>Swagger UI permite probar el endpoint y visualizar el contrato.</ns0:t>
      </ns0:r>
    </ns0:p>
    <ns0:p>
      <ns0:pPr>
        <ns0:pStyle ns0:val="ListBullet"/>
        <ns0:spacing ns0:after="80" ns0:line="280" ns0:lineRule="auto"/>
      </ns0:pPr>
      <ns0:r>
        <ns0:rPr>
          <ns0:rFonts ns0:ascii="Calibri" ns0:hAnsi="Calibri"/>
          <ns0:b ns0:val="0"/>
          <ns0:i ns0:val="0"/>
          <ns0:sz ns0:val="22"/>
        </ns0:rPr>
        <ns0:t>El flujo conserva RawText, utiliza la IA visual como fuente principal de estructura y metadatos y exige comparación OCR/visión para fecha y total cuando ambas fuentes aportan evidencia.</ns0:t>
      </ns0:r>
    </ns0:p>
    <ns0:p>
      <ns0:pPr>
        <ns0:pStyle ns0:val="ListBullet"/>
        <ns0:spacing ns0:after="80" ns0:line="280" ns0:lineRule="auto"/>
      </ns0:pPr>
      <ns0:r>
        <ns0:rPr>
          <ns0:rFonts ns0:ascii="Calibri" ns0:hAnsi="Calibri"/>
          <ns0:b ns0:val="0"/>
          <ns0:i ns0:val="0"/>
          <ns0:sz ns0:val="22"/>
        </ns0:rPr>
        <ns0:t>La falta de fecha o total visual y OCR activa ERR_SIN_FECHA o ERR_SIN_TOTAL. Una discrepancia activa REVIEW_REQUIRED con DATE_MISMATCH o TOTAL_MISMATCH; si solo OCR aporta el campo, se aplica OCR_LOW_CONFIDENCE.</ns0:t>
      </ns0:r>
    </ns0:p>
    <ns0:p>
      <ns0:pPr>
        <ns0:pStyle ns0:val="ListBullet"/>
        <ns0:spacing ns0:after="80" ns0:line="280" ns0:lineRule="auto"/>
      </ns0:pPr>
      <ns0:r>
        <ns0:rPr>
          <ns0:rFonts ns0:ascii="Calibri" ns0:hAnsi="Calibri"/>
          <ns0:b ns0:val="0"/>
          <ns0:i ns0:val="0"/>
          <ns0:sz ns0:val="22"/>
        </ns0:rPr>
        <ns0:t>Las reglas de alcohol y tipo de gasto se ejecutan mediante código y tienen tests xUnit representativos.</ns0:t>
      </ns0:r>
    </ns0:p>
    <ns0:p>
      <ns0:pPr>
        <ns0:pStyle ns0:val="ListBullet"/>
        <ns0:spacing ns0:after="80" ns0:line="280" ns0:lineRule="auto"/>
      </ns0:pPr>
      <ns0:r>
        <ns0:rPr>
          <ns0:rFonts ns0:ascii="Calibri" ns0:hAnsi="Calibri"/>
          <ns0:b ns0:val="0"/>
          <ns0:i ns0:val="0"/>
          <ns0:sz ns0:val="22"/>
        </ns0:rPr>
        <ns0:t>La rotación se intenta mediante OSD y, si falta evidencia crítica, mediante fallback 0/90/180/270 antes de continuar el análisis.</ns0:t>
      </ns0:r>
    </ns0:p>
    <ns0:p>
      <ns0:pPr>
        <ns0:pStyle ns0:val="ListBullet"/>
        <ns0:spacing ns0:after="80" ns0:line="280" ns0:lineRule="auto"/>
      </ns0:pPr>
      <ns0:r>
        <ns0:rPr>
          <ns0:rFonts ns0:ascii="Calibri" ns0:hAnsi="Calibri"/>
          <ns0:b ns0:val="0"/>
          <ns0:i ns0:val="0"/>
          <ns0:sz ns0:val="22"/>
        </ns0:rPr>
        <ns0:t>Los logs de fichero contienen trazabilidad técnica básica sin almacenar imágenes ni secretos.</ns0:t>
      </ns0:r>
    </ns0:p>
    <ns0:p>
      <ns0:pPr>
        <ns0:pStyle ns0:val="ListBullet"/>
        <ns0:spacing ns0:after="80" ns0:line="280" ns0:lineRule="auto"/>
      </ns0:pPr>
      <ns0:r>
        <ns0:rPr>
          <ns0:rFonts ns0:ascii="Calibri" ns0:hAnsi="Calibri"/>
          <ns0:b ns0:val="0"/>
          <ns0:i ns0:val="0"/>
          <ns0:sz ns0:val="22"/>
        </ns0:rPr>
        <ns0:t xml:space="preserve">Docker está validado y el servicio está desplegado públicamente en Render desde la rama main. La suite final contiene 233 pruebas correctas sin llamadas reales a OpenAI.</ns0:t>
      </ns0:r>
    </ns0:p>
    <ns0:p>
      <ns0:pPr>
        <ns0:pStyle ns0:val="Heading1"/>
        <ns0:keepNext/>
      </ns0:pPr>
      <ns0:r>
        <ns0:rPr>
          <ns0:rFonts ns0:ascii="Calibri" ns0:hAnsi="Calibri"/>
          <ns0:b/>
          <ns0:i ns0:val="0"/>
          <ns0:color ns0:val="2E74B5"/>
          <ns0:sz ns0:val="32"/>
        </ns0:rPr>
        <ns0:t xml:space="preserve">17. Decisiones cerradas (versión definitiva)</ns0:t>
      </ns0:r>
    </ns0:p>
    <ns0:tbl>
      <ns0:tblPr>
        <ns0:tblStyle ns0:val="TableGrid"/>
        <ns0:tblW ns0:type="auto" ns0:w="0"/>
        <ns0:jc ns0:val="left"/>
        <ns0:tblLayout ns0:type="fixed"/>
        <ns0:tblLook ns0:firstColumn="1" ns0:firstRow="1" ns0:lastColumn="0" ns0:lastRow="0" ns0:noHBand="0" ns0:noVBand="1" ns0:val="04A0"/>
        <ns0:tblInd ns0:w="120" ns0:type="dxa"/>
      </ns0:tblPr>
      <ns0:tblGrid>
        <ns0:gridCol ns0:w="4680"/>
        <ns0:gridCol ns0:w="4680"/>
      </ns0:tblGrid>
      <ns0:tr>
        <ns0:tc>
          <ns0:tcPr>
            <ns0:tcW ns0:type="dxa" ns0:w="2500"/>
            <ns0:shd ns0:fill="E8EEF5"/>
            <ns0:tcMar>
              <ns0:top ns0:w="80" ns0:type="dxa"/>
              <ns0:start ns0:w="120" ns0:type="dxa"/>
              <ns0:bottom ns0:w="80" ns0:type="dxa"/>
              <ns0:end ns0:w="120" ns0:type="dxa"/>
            </ns0:tcMar>
            <ns0:vAlign ns0:val="center"/>
          </ns0:tcPr>
          <ns0:p>
            <ns0:pPr>
              <ns0:spacing ns0:after="0"/>
            </ns0:pPr>
            <ns0:r>
              <ns0:rPr>
                <ns0:rFonts ns0:ascii="Calibri" ns0:hAnsi="Calibri"/>
                <ns0:b/>
                <ns0:i ns0:val="0"/>
                <ns0:color ns0:val="1F4D78"/>
                <ns0:sz ns0:val="20"/>
              </ns0:rPr>
              <ns0:t>Área</ns0:t>
            </ns0:r>
          </ns0:p>
        </ns0:tc>
        <ns0:tc>
          <ns0:tcPr>
            <ns0:tcW ns0:type="dxa" ns0:w="6860"/>
            <ns0:shd ns0:fill="E8EEF5"/>
            <ns0:tcMar>
              <ns0:top ns0:w="80" ns0:type="dxa"/>
              <ns0:start ns0:w="120" ns0:type="dxa"/>
              <ns0:bottom ns0:w="80" ns0:type="dxa"/>
              <ns0:end ns0:w="120" ns0:type="dxa"/>
            </ns0:tcMar>
            <ns0:vAlign ns0:val="center"/>
          </ns0:tcPr>
          <ns0:p>
            <ns0:pPr>
              <ns0:spacing ns0:after="0"/>
            </ns0:pPr>
            <ns0:r>
              <ns0:rPr>
                <ns0:rFonts ns0:ascii="Calibri" ns0:hAnsi="Calibri"/>
                <ns0:b/>
                <ns0:i ns0:val="0"/>
                <ns0:color ns0:val="1F4D78"/>
                <ns0:sz ns0:val="20"/>
              </ns0:rPr>
              <ns0:t>Decisión</ns0:t>
            </ns0:r>
          </ns0:p>
        </ns0:tc>
      </ns0:tr>
      <ns0:t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Núcleo</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Servicio web REST desplegado.</ns0:t>
            </ns0:r>
          </ns0:p>
        </ns0:tc>
      </ns0:tr>
      <ns0:t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Tesseract OCR</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OcrReadable, OcrRawText, fecha, total, contraste y diagnóstico; no es fuente principal estructurada.</ns0:t>
            </ns0:r>
          </ns0:p>
        </ns0:tc>
      </ns0:tr>
      <ns0:t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IA visual</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GPT-4.1: fuente estructurada principal de imagen, productos y manipulación.</ns0:t>
            </ns0:r>
          </ns0:p>
        </ns0:tc>
      </ns0:tr>
      <ns0:t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Decisión</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ProductClassifier, ExpenseCoherenceAnalyzer y ExpenseRuleEngine en código.</ns0:t>
            </ns0:r>
          </ns0:p>
        </ns0:tc>
      </ns0:tr>
      <ns0:t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Pruebas</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xUnit: 233 pruebas correctas sin llamadas reales a OpenAI.</ns0:t>
            </ns0:r>
          </ns0:p>
        </ns0:tc>
      </ns0:tr>
      <ns0:t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Preprocesamiento MVP</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OSD y fallback 0/90/180/270; sin OpenCV, inclinación fina, perspectiva ni recorte.</ns0:t>
            </ns0:r>
          </ns0:p>
        </ns0:tc>
      </ns0:tr>
      <ns0:t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Documentación API</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Swagger UI en /swagger; demo web auxiliar en español en /.</ns0:t>
            </ns0:r>
          </ns0:p>
        </ns0:tc>
      </ns0:tr>
      <ns0:t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Operación</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Docker validado; Render Web Service desde main. Web: https://ticketvalidator-juo1.onrender.com</ns0:t>
            </ns0:r>
          </ns0:p>
        </ns0:tc>
      </ns0:tr>
      <ns0:t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Secretos</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OpenAI__ApiKey en Render; no se incluye ninguna clave real.</ns0:t>
            </ns0:r>
          </ns0:p>
        </ns0:tc>
      </ns0:tr>
      <ns0:t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Corroboración</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APPROVED exige DateMatch y TotalMatch true; discrepancias o ausencias críticas requieren revisión.</ns0:t>
            </ns0:r>
          </ns0:p>
        </ns0:tc>
      </ns0:tr>
      <ns0:t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Manipulación</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Análisis visual de indicios, no certificación forense.</ns0:t>
            </ns0:r>
          </ns0:p>
        </ns0:tc>
      </ns0:tr>
      <ns0:t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Swagger público</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https://ticketvalidator-juo1.onrender.com/swagger</ns0:t>
            </ns0:r>
          </ns0:p>
        </ns0:tc>
      </ns0:tr>
      <ns0:t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Limitaciones</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OCR sensible a iluminación, contraste, escala, tickets térmicos deteriorados y diversidad de formatos.</ns0:t>
            </ns0:r>
          </ns0:p>
        </ns0:tc>
      </ns0:tr>
      <ns0:tr>
        <ns0:tc>
          <ns0:tcPr>
            <ns0:tcW ns0:type="dxa" ns0:w="250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Limitaciones</ns0:t>
            </ns0:r>
          </ns0:p>
        </ns0:tc>
        <ns0:tc>
          <ns0:tcPr>
            <ns0:tcW ns0:type="dxa" ns0:w="6860"/>
            <ns0:tcMar>
              <ns0:top ns0:w="80" ns0:type="dxa"/>
              <ns0:start ns0:w="120" ns0:type="dxa"/>
              <ns0:bottom ns0:w="80" ns0:type="dxa"/>
              <ns0:end ns0:w="120" ns0:type="dxa"/>
            </ns0:tcMar>
            <ns0:vAlign ns0:val="center"/>
          </ns0:tcPr>
          <ns0:p>
            <ns0:pPr>
              <ns0:spacing ns0:after="0"/>
            </ns0:pPr>
            <ns0:r>
              <ns0:rPr>
                <ns0:rFonts ns0:ascii="Calibri" ns0:hAnsi="Calibri"/>
                <ns0:b ns0:val="0"/>
                <ns0:i ns0:val="0"/>
                <ns0:sz ns0:val="19"/>
              </ns0:rPr>
              <ns0:t xml:space="preserve">Se soporta orientación ortogonal, no inclinación fina ni perspectiva; casos legítimos pueden requerir revisión manual.</ns0:t>
            </ns0:r>
          </ns0:p>
        </ns0:tc>
      </ns0:tr>
    </ns0:tbl>
    <ns0:p>
      <ns0:pPr>
        <ns0:spacing ns0:after="40"/>
      </ns0:pPr>
    </ns0:p>
    <ns0:p>
      <ns0:pPr>
        <ns0:pStyle ns0:val="Heading1"/>
        <ns0:keepNext/>
      </ns0:pPr>
      <ns0:r>
        <ns0:rPr>
          <ns0:rFonts ns0:ascii="Calibri" ns0:hAnsi="Calibri"/>
          <ns0:b/>
          <ns0:i ns0:val="0"/>
          <ns0:color ns0:val="2E74B5"/>
          <ns0:sz ns0:val="32"/>
        </ns0:rPr>
        <ns0:t>18. Mejoras futuras</ns0:t>
      </ns0:r>
    </ns0:p>
    <ns0:p>
      <ns0:pPr>
        <ns0:pStyle ns0:val="ListBullet"/>
        <ns0:spacing ns0:after="80" ns0:line="280" ns0:lineRule="auto"/>
      </ns0:pPr>
      <ns0:r>
        <ns0:rPr>
          <ns0:rFonts ns0:ascii="Calibri" ns0:hAnsi="Calibri"/>
          <ns0:b ns0:val="0"/>
          <ns0:i ns0:val="0"/>
          <ns0:sz ns0:val="22"/>
        </ns0:rPr>
        <ns0:t xml:space="preserve">Incorporar una aplicación móvil para captura guiada y optimizar el consumo y coste de IA.</ns0:t>
      </ns0:r>
    </ns0:p>
    <ns0:p>
      <ns0:pPr>
        <ns0:pStyle ns0:val="ListBullet"/>
        <ns0:spacing ns0:after="80" ns0:line="280" ns0:lineRule="auto"/>
      </ns0:pPr>
      <ns0:r>
        <ns0:rPr>
          <ns0:rFonts ns0:ascii="Calibri" ns0:hAnsi="Calibri"/>
          <ns0:b ns0:val="0"/>
          <ns0:i ns0:val="0"/>
          <ns0:sz ns0:val="22"/>
        </ns0:rPr>
        <ns0:t xml:space="preserve">Añadir recorte automático, detección de bordes, corrección de perspectiva, corrección fina de inclinación, mejora de brillo/contraste y preprocesamiento OCR.</ns0:t>
      </ns0:r>
    </ns0:p>
    <ns0:p>
      <ns0:pPr>
        <ns0:pStyle ns0:val="ListBullet"/>
        <ns0:spacing ns0:after="80" ns0:line="280" ns0:lineRule="auto"/>
      </ns0:pPr>
      <ns0:r>
        <ns0:rPr>
          <ns0:rFonts ns0:ascii="Calibri" ns0:hAnsi="Calibri"/>
          <ns0:b ns0:val="0"/>
          <ns0:i ns0:val="0"/>
          <ns0:sz ns0:val="22"/>
        </ns0:rPr>
        <ns0:t xml:space="preserve">Ampliar las reglas, formatos de entrada y la cobertura de tickets reales, manteniendo el análisis de manipulación fuera del ámbito forense.</ns0:t>
      </ns0:r>
    </ns0:p>
    <ns0:p>
      <ns0:pPr>
        <ns0:pStyle ns0:val="ListBullet"/>
        <ns0:spacing ns0:after="80" ns0:line="280" ns0:lineRule="auto"/>
      </ns0:pPr>
      <ns0:r>
        <ns0:rPr>
          <ns0:rFonts ns0:ascii="Calibri" ns0:hAnsi="Calibri"/>
          <ns0:b ns0:val="0"/>
          <ns0:i ns0:val="0"/>
          <ns0:sz ns0:val="22"/>
        </ns0:rPr>
        <ns0:t xml:space="preserve">Mejorar la persistencia y auditoría técnica avanzada.</ns0:t>
      </ns0:r>
    </ns0:p>
    <ns0:p>
      <ns0:pPr>
        <ns0:pStyle ns0:val="ListBullet"/>
        <ns0:spacing ns0:after="80" ns0:line="280" ns0:lineRule="auto"/>
      </ns0:pPr>
      <ns0:r>
        <ns0:rPr>
          <ns0:rFonts ns0:ascii="Calibri" ns0:hAnsi="Calibri"/>
          <ns0:b ns0:val="0"/>
          <ns0:i ns0:val="0"/>
          <ns0:sz ns0:val="22"/>
        </ns0:rPr>
        <ns0:t xml:space="preserve">Añadir autenticación si la solución evoluciona a un producto real.</ns0:t>
      </ns0:r>
    </ns0:p>
    <ns0:p>
      <ns0:pPr>
        <ns0:pStyle ns0:val="ListBullet"/>
        <ns0:spacing ns0:after="80" ns0:line="280" ns0:lineRule="auto"/>
      </ns0:pPr>
      <ns0:r>
        <ns0:rPr>
          <ns0:rFonts ns0:ascii="Calibri" ns0:hAnsi="Calibri"/>
          <ns0:b ns0:val="0"/>
          <ns0:i ns0:val="0"/>
          <ns0:sz ns0:val="22"/>
        </ns0:rPr>
        <ns0:t>Añadir métricas, observabilidad, pruebas de rendimiento y validación con usuarios.</ns0:t>
      </ns0:r>
    </ns0:p>
    <ns0:p>
      <ns0:pPr>
        <ns0:pStyle ns0:val="Heading1"/>
        <ns0:keepNext/>
      </ns0:pPr>
      <ns0:r>
        <ns0:rPr>
          <ns0:rFonts ns0:ascii="Calibri" ns0:hAnsi="Calibri"/>
          <ns0:b/>
          <ns0:i ns0:val="0"/>
          <ns0:color ns0:val="2E74B5"/>
          <ns0:sz ns0:val="32"/>
        </ns0:rPr>
        <ns0:t>19. Referencia</ns0:t>
      </ns0:r>
    </ns0:p>
    <ns0:p>
      <ns0:pPr>
        <ns0:spacing ns0:after="120" ns0:line="264" ns0:lineRule="auto"/>
      </ns0:pPr>
      <ns0:r>
        <ns0:rPr>
          <ns0:rFonts ns0:ascii="Calibri" ns0:hAnsi="Calibri"/>
          <ns0:b ns0:val="0"/>
          <ns0:i ns0:val="0"/>
          <ns0:sz ns0:val="22"/>
        </ns0:rPr>
        <ns0:t>[R1] Documento de requisitos del Trabajo Fin de Máster proporcionado por la organización del Máster. Se utiliza como referencia para alinear el proyecto con los entregables solicitados: aplicación funcional, README, repositorio GitHub, despliegue cuando sea posible, diapositivas y vídeo.</ns0:t>
      </ns0:r>
    </ns0:p>
    <ns0:sectPr ns0:rsidR="00FC693F" ns0:rsidRPr="0006063C" ns0:rsidSect="00034616">
      <ns0:footerReference ns0:type="default" ns2:id="rId9"/>
      <ns0:pgSz ns0:w="12240" ns0:h="15840"/>
      <ns0:pgMar ns0:top="1440" ns0:right="1440" ns0:bottom="1440" ns0:left="1440" ns0:header="708" ns0:footer="708"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6666"/>
        <w:sz w:val="18"/>
      </w:rPr>
      <w:t>Documento de requisitos - TFM | Versión definitiva 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