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0"/>
          <w:szCs w:val="40"/>
        </w:rPr>
        <w:t xml:space="preserve">DOCUMENTO DE ESPECIFICAÇÃO DE REQUISITOS</w:t>
      </w:r>
    </w:p>
    <w:p>
      <w:pPr>
        <w:spacing w:before="240"/>
        <w:jc w:val="center"/>
      </w:pPr>
      <w:r>
        <w:rPr>
          <w:b/>
          <w:bCs/>
          <w:color w:val="0F6B5C"/>
          <w:sz w:val="30"/>
          <w:szCs w:val="30"/>
        </w:rPr>
        <w:t xml:space="preserve">Sistema de Gestão e Autorização de Pagamentos Municipais</w:t>
      </w:r>
    </w:p>
    <w:p>
      <w:pPr>
        <w:spacing w:before="160"/>
        <w:jc w:val="center"/>
      </w:pPr>
      <w:r>
        <w:rPr>
          <w:i/>
          <w:iCs/>
          <w:color w:val="595959"/>
          <w:sz w:val="22"/>
          <w:szCs w:val="22"/>
        </w:rPr>
        <w:t xml:space="preserve">Controle do fluxo de solicitação, aprovação, liberação e execução de pagamentos a fornecedores, com conciliação bancária automatizada</w:t>
      </w:r>
    </w:p>
    <w:p>
      <w:pPr>
        <w:spacing w:before="1600"/>
        <w:jc w:val="center"/>
      </w:pPr>
      <w:r>
        <w:rPr>
          <w:color w:val="595959"/>
          <w:sz w:val="22"/>
          <w:szCs w:val="22"/>
        </w:rPr>
        <w:t xml:space="preserve">Versão 1.0</w:t>
      </w:r>
    </w:p>
    <w:p>
      <w:pPr>
        <w:spacing w:before="120"/>
        <w:jc w:val="center"/>
      </w:pPr>
      <w:r>
        <w:rPr>
          <w:color w:val="595959"/>
          <w:sz w:val="22"/>
          <w:szCs w:val="22"/>
        </w:rPr>
        <w:t xml:space="preserve">Levantamento de Requisitos de TIC</w:t>
      </w:r>
    </w:p>
    <w:p>
      <w:r>
        <w:br w:type="page"/>
      </w:r>
    </w:p>
    <w:p>
      <w:pPr>
        <w:pStyle w:val="Heading1"/>
        <w:spacing w:after="160" w:before="360"/>
      </w:pPr>
      <w:r>
        <w:t xml:space="preserve">1. Introdução</w:t>
      </w:r>
    </w:p>
    <w:p>
      <w:pPr>
        <w:pStyle w:val="Heading2"/>
        <w:spacing w:after="120" w:before="260"/>
      </w:pPr>
      <w:r>
        <w:t xml:space="preserve">1.1 Objetivo do documento</w:t>
      </w:r>
    </w:p>
    <w:p>
      <w:pPr>
        <w:spacing w:after="140" w:line="276"/>
      </w:pPr>
      <w:r>
        <w:rPr>
          <w:sz w:val="21"/>
          <w:szCs w:val="21"/>
        </w:rPr>
        <w:t xml:space="preserve">Este documento apresenta o levantamento de requisitos funcionais e não funcionais para o desenvolvimento de um Sistema de Gestão e Autorização de Pagamentos Municipais (doravante “Sistema”), destinado a informatizar e conferir transparência, controle e agilidade ao fluxo de liberação de pagamentos a fornecedores e prestadores de serviços no âmbito da Administração Pública Municipal. O Sistema visa substituir o controle hoje realizado de forma manual ou fragmentada (planilhas, comunicações informais, consultas presenciais à tesouraria), estabelecendo um fluxo único, auditável e segregado por perfis de responsabilidade.</w:t>
      </w:r>
    </w:p>
    <w:p>
      <w:pPr>
        <w:pStyle w:val="Heading2"/>
        <w:spacing w:after="120" w:before="260"/>
      </w:pPr>
      <w:r>
        <w:t xml:space="preserve">1.2 Escopo do sistema</w:t>
      </w:r>
    </w:p>
    <w:p>
      <w:pPr>
        <w:spacing w:after="140" w:line="276"/>
      </w:pPr>
      <w:r>
        <w:rPr>
          <w:sz w:val="21"/>
          <w:szCs w:val="21"/>
        </w:rPr>
        <w:t xml:space="preserve">O Sistema abrange exclusivamente a gestão do fluxo de pagamento — da solicitação pela unidade requisitante até a efetiva baixa financeira pela Tesouraria — não contemplando os estágios orçamentários de empenho e liquidação da despesa, que permanecem sob responsabilidade do sistema de execução orçamentária e contábil já utilizado pelo Município (SIAFIC municipal ou equivalente), em atendimento à segregação de estágios prevista na Lei nº 4.320/1964.</w:t>
      </w:r>
    </w:p>
    <w:p>
      <w:pPr>
        <w:spacing w:after="140" w:line="276"/>
      </w:pPr>
      <w:r>
        <w:rPr>
          <w:sz w:val="21"/>
          <w:szCs w:val="21"/>
        </w:rPr>
        <w:t xml:space="preserve">Não obstante essa delimitação, o Sistema deve manter rastreabilidade referencial com aquelas etapas, exigindo o registro obrigatório, em cada solicitação de pagamento, do número da Nota de Empenho (NE), do número da Nota Fiscal (NF) e, quando houver, do número do contrato administrativo vinculado, de modo a assegurar a integridade documental do processo de despesa e permitir cruzamento posterior com o sistema contábil.</w:t>
      </w:r>
    </w:p>
    <w:p>
      <w:pPr>
        <w:pStyle w:val="Heading2"/>
        <w:spacing w:after="120" w:before="260"/>
      </w:pPr>
      <w:r>
        <w:t xml:space="preserve">1.3 Definições e siglas</w:t>
      </w:r>
    </w:p>
    <w:p>
      <w:pPr>
        <w:pStyle w:val="ListParagraph"/>
        <w:numPr>
          <w:ilvl w:val="0"/>
          <w:numId w:val="1"/>
        </w:numPr>
        <w:spacing w:after="80" w:line="276"/>
      </w:pPr>
      <w:r>
        <w:t xml:space="preserve">NE — Nota de Empenho</w:t>
      </w:r>
    </w:p>
    <w:p>
      <w:pPr>
        <w:pStyle w:val="ListParagraph"/>
        <w:numPr>
          <w:ilvl w:val="0"/>
          <w:numId w:val="1"/>
        </w:numPr>
        <w:spacing w:after="80" w:line="276"/>
      </w:pPr>
      <w:r>
        <w:t xml:space="preserve">NF — Nota Fiscal</w:t>
      </w:r>
    </w:p>
    <w:p>
      <w:pPr>
        <w:pStyle w:val="ListParagraph"/>
        <w:numPr>
          <w:ilvl w:val="0"/>
          <w:numId w:val="1"/>
        </w:numPr>
        <w:spacing w:after="80" w:line="276"/>
      </w:pPr>
      <w:r>
        <w:t xml:space="preserve">LRF — Lei de Responsabilidade Fiscal (Lei Complementar nº 101/2000)</w:t>
      </w:r>
    </w:p>
    <w:p>
      <w:pPr>
        <w:pStyle w:val="ListParagraph"/>
        <w:numPr>
          <w:ilvl w:val="0"/>
          <w:numId w:val="1"/>
        </w:numPr>
        <w:spacing w:after="80" w:line="276"/>
      </w:pPr>
      <w:r>
        <w:t xml:space="preserve">MCASP — Manual de Contabilidade Aplicada ao Setor Público (STN)</w:t>
      </w:r>
    </w:p>
    <w:p>
      <w:pPr>
        <w:pStyle w:val="ListParagraph"/>
        <w:numPr>
          <w:ilvl w:val="0"/>
          <w:numId w:val="1"/>
        </w:numPr>
        <w:spacing w:after="80" w:line="276"/>
      </w:pPr>
      <w:r>
        <w:t xml:space="preserve">PCASP — Plano de Contas Aplicado ao Setor Público</w:t>
      </w:r>
    </w:p>
    <w:p>
      <w:pPr>
        <w:pStyle w:val="ListParagraph"/>
        <w:numPr>
          <w:ilvl w:val="0"/>
          <w:numId w:val="1"/>
        </w:numPr>
        <w:spacing w:after="80" w:line="276"/>
      </w:pPr>
      <w:r>
        <w:t xml:space="preserve">LAI — Lei de Acesso à Informação (Lei nº 12.527/2011)</w:t>
      </w:r>
    </w:p>
    <w:p>
      <w:pPr>
        <w:pStyle w:val="ListParagraph"/>
        <w:numPr>
          <w:ilvl w:val="0"/>
          <w:numId w:val="1"/>
        </w:numPr>
        <w:spacing w:after="80" w:line="276"/>
      </w:pPr>
      <w:r>
        <w:t xml:space="preserve">LGPD — Lei Geral de Proteção de Dados Pessoais (Lei nº 13.709/2018)</w:t>
      </w:r>
    </w:p>
    <w:p>
      <w:pPr>
        <w:pStyle w:val="ListParagraph"/>
        <w:numPr>
          <w:ilvl w:val="0"/>
          <w:numId w:val="1"/>
        </w:numPr>
        <w:spacing w:after="80" w:line="276"/>
      </w:pPr>
      <w:r>
        <w:t xml:space="preserve">RF — Requisito Funcional</w:t>
      </w:r>
    </w:p>
    <w:p>
      <w:pPr>
        <w:pStyle w:val="ListParagraph"/>
        <w:numPr>
          <w:ilvl w:val="0"/>
          <w:numId w:val="1"/>
        </w:numPr>
        <w:spacing w:after="80" w:line="276"/>
      </w:pPr>
      <w:r>
        <w:t xml:space="preserve">RN — Regra de Negócio</w:t>
      </w:r>
    </w:p>
    <w:p>
      <w:pPr>
        <w:pStyle w:val="ListParagraph"/>
        <w:numPr>
          <w:ilvl w:val="0"/>
          <w:numId w:val="1"/>
        </w:numPr>
        <w:spacing w:after="80" w:line="276"/>
      </w:pPr>
      <w:r>
        <w:t xml:space="preserve">RNF — Requisito Não Funcional</w:t>
      </w:r>
    </w:p>
    <w:p>
      <w:pPr>
        <w:pStyle w:val="Heading1"/>
        <w:spacing w:after="160" w:before="360"/>
      </w:pPr>
      <w:r>
        <w:t xml:space="preserve">2. Fundamentação Legal e Normativa</w:t>
      </w:r>
    </w:p>
    <w:p>
      <w:pPr>
        <w:spacing w:after="140" w:line="276"/>
      </w:pPr>
      <w:r>
        <w:rPr>
          <w:sz w:val="21"/>
          <w:szCs w:val="21"/>
        </w:rPr>
        <w:t xml:space="preserve">O desenho dos módulos e das regras de negócio do Sistema deve observar, no mínimo, os seguintes marcos legais e normativos aplicáveis à execução financeira da despesa pública municipal:</w:t>
      </w:r>
    </w:p>
    <w:p>
      <w:pPr>
        <w:pStyle w:val="Heading2"/>
        <w:spacing w:after="120" w:before="260"/>
      </w:pPr>
      <w:r>
        <w:t xml:space="preserve">2.1 Lei Federal nº 4.320/1964</w:t>
      </w:r>
    </w:p>
    <w:p>
      <w:pPr>
        <w:spacing w:after="120" w:line="276"/>
      </w:pPr>
      <w:r>
        <w:rPr>
          <w:b/>
          <w:bCs/>
          <w:sz w:val="21"/>
          <w:szCs w:val="21"/>
        </w:rPr>
        <w:t xml:space="preserve">Arts. 62 a 65 — </w:t>
      </w:r>
      <w:r>
        <w:rPr>
          <w:sz w:val="21"/>
          <w:szCs w:val="21"/>
        </w:rPr>
        <w:t xml:space="preserve">disciplinam o estágio de pagamento da despesa pública, exigindo que o pagamento somente seja efetuado após a regular liquidação da despesa (art. 62), mediante despacho da autoridade competente que determine seja a despesa paga — a chamada ordem de pagamento (art. 64) — e que o pagamento seja realizado por tesouraria ou estabelecimento bancário credenciado (art. 65). O Sistema deve, portanto, formalizar a ordem de pagamento como documento próprio, vinculado à autorização da autoridade competente, e não permitir a execução financeira sem que a despesa já esteja assinalada como liquidada no sistema contábil de origem.</w:t>
      </w:r>
    </w:p>
    <w:p>
      <w:pPr>
        <w:spacing w:after="120" w:line="276"/>
      </w:pPr>
      <w:r>
        <w:rPr>
          <w:b/>
          <w:bCs/>
          <w:sz w:val="21"/>
          <w:szCs w:val="21"/>
        </w:rPr>
        <w:t xml:space="preserve">Arts. 100 a 104 — </w:t>
      </w:r>
      <w:r>
        <w:rPr>
          <w:sz w:val="21"/>
          <w:szCs w:val="21"/>
        </w:rPr>
        <w:t xml:space="preserve">tratam de restos a pagar e da necessidade de controle segregado de disponibilidades financeiras por fonte/destinação de recursos, exigindo que o Sistema mantenha os saldos de conta corrente vinculados às respectivas fontes orçamentárias, impedindo a autorização de pagamentos que extrapolem o saldo disponível na fonte correspondente.</w:t>
      </w:r>
    </w:p>
    <w:p>
      <w:pPr>
        <w:pStyle w:val="Heading2"/>
        <w:spacing w:after="120" w:before="260"/>
      </w:pPr>
      <w:r>
        <w:t xml:space="preserve">2.2 Lei Complementar nº 101/2000 — Lei de Responsabilidade Fiscal (LRF)</w:t>
      </w:r>
    </w:p>
    <w:p>
      <w:pPr>
        <w:spacing w:after="120" w:line="276"/>
      </w:pPr>
      <w:r>
        <w:rPr>
          <w:b/>
          <w:bCs/>
          <w:sz w:val="21"/>
          <w:szCs w:val="21"/>
        </w:rPr>
        <w:t xml:space="preserve">Art. 1º, § 1º — </w:t>
      </w:r>
      <w:r>
        <w:rPr>
          <w:sz w:val="21"/>
          <w:szCs w:val="21"/>
        </w:rPr>
        <w:t xml:space="preserve">estabelece a gestão fiscal responsável como ação planejada e transparente, fundamento que orienta a exigência de trilhas de auditoria e segregação de funções no fluxo de autorização de pagamentos.</w:t>
      </w:r>
    </w:p>
    <w:p>
      <w:pPr>
        <w:spacing w:after="120" w:line="276"/>
      </w:pPr>
      <w:r>
        <w:rPr>
          <w:b/>
          <w:bCs/>
          <w:sz w:val="21"/>
          <w:szCs w:val="21"/>
        </w:rPr>
        <w:t xml:space="preserve">Arts. 8º e 9º — </w:t>
      </w:r>
      <w:r>
        <w:rPr>
          <w:sz w:val="21"/>
          <w:szCs w:val="21"/>
        </w:rPr>
        <w:t xml:space="preserve">tratam da execução orçamentária e da eventual limitação de empenho e movimentação financeira em função da insuficiência de disponibilidade de caixa, reforçando a necessidade de o Sistema confrontar, antes de cada autorização, o saldo efetivamente disponível na conta/fonte de recursos.</w:t>
      </w:r>
    </w:p>
    <w:p>
      <w:pPr>
        <w:spacing w:after="120" w:line="276"/>
      </w:pPr>
      <w:r>
        <w:rPr>
          <w:b/>
          <w:bCs/>
          <w:sz w:val="21"/>
          <w:szCs w:val="21"/>
        </w:rPr>
        <w:t xml:space="preserve">Art. 42 — </w:t>
      </w:r>
      <w:r>
        <w:rPr>
          <w:sz w:val="21"/>
          <w:szCs w:val="21"/>
        </w:rPr>
        <w:t xml:space="preserve">veda ao gestor, nos últimos dois quadrimestres do mandato, contrair obrigação que não possa ser cumprida no exercício ou que gere restos a pagar sem correspondente disponibilidade de caixa, o que recomenda que o Sistema disponibilize relatório de disponibilidade de caixa vinculada a restos a pagar.</w:t>
      </w:r>
    </w:p>
    <w:p>
      <w:pPr>
        <w:spacing w:after="120" w:line="276"/>
      </w:pPr>
      <w:r>
        <w:rPr>
          <w:b/>
          <w:bCs/>
          <w:sz w:val="21"/>
          <w:szCs w:val="21"/>
        </w:rPr>
        <w:t xml:space="preserve">Arts. 48 e 48-A — </w:t>
      </w:r>
      <w:r>
        <w:rPr>
          <w:sz w:val="21"/>
          <w:szCs w:val="21"/>
        </w:rPr>
        <w:t xml:space="preserve">impõem a transparência da gestão fiscal mediante liberação, em meios eletrônicos de acesso público e em tempo real, de informações pormenorizadas sobre a execução orçamentária e financeira, inclusive quanto a valores pagos por credor, o que fundamenta o módulo de transparência ativa previsto neste documento.</w:t>
      </w:r>
    </w:p>
    <w:p>
      <w:pPr>
        <w:spacing w:after="120" w:line="276"/>
      </w:pPr>
      <w:r>
        <w:rPr>
          <w:b/>
          <w:bCs/>
          <w:sz w:val="21"/>
          <w:szCs w:val="21"/>
        </w:rPr>
        <w:t xml:space="preserve">Arts. 54 e 55 — </w:t>
      </w:r>
      <w:r>
        <w:rPr>
          <w:sz w:val="21"/>
          <w:szCs w:val="21"/>
        </w:rPr>
        <w:t xml:space="preserve">tratam do Relatório de Gestão Fiscal, que deve incorporar, entre outros, dados sobre restos a pagar e disponibilidade de caixa — informações que o Sistema deve ser capaz de exportar de forma consolidada.</w:t>
      </w:r>
    </w:p>
    <w:p>
      <w:pPr>
        <w:pStyle w:val="Heading2"/>
        <w:spacing w:after="120" w:before="260"/>
      </w:pPr>
      <w:r>
        <w:t xml:space="preserve">2.3 MCASP/PCASP — Manual e Plano de Contas Aplicado ao Setor Público (STN)</w:t>
      </w:r>
    </w:p>
    <w:p>
      <w:pPr>
        <w:spacing w:after="140" w:line="276"/>
      </w:pPr>
      <w:r>
        <w:rPr>
          <w:sz w:val="21"/>
          <w:szCs w:val="21"/>
        </w:rPr>
        <w:t xml:space="preserve">O MCASP orienta o registro dos estágios da despesa sob o regime de competência, a conciliação bancária periódica das disponibilidades financeiras, a segregação por fonte/destinação de recursos e a padronização dos demonstrativos de restos a pagar. O Sistema deve estruturar seus cadastros de contas bancárias, fontes e naturezas de despesa de forma compatível com a classificação orçamentária utilizada pelo Plano de Contas Aplicado ao Setor Público (PCASP) do Município, e realizar conciliação bancária formal e documentada, em conformidade com as orientações do MCASP quanto ao controle das disponibilidades.</w:t>
      </w:r>
    </w:p>
    <w:p>
      <w:pPr>
        <w:pStyle w:val="Heading2"/>
        <w:spacing w:after="120" w:before="260"/>
      </w:pPr>
      <w:r>
        <w:t xml:space="preserve">2.4 Outras normas aplicáveis</w:t>
      </w:r>
    </w:p>
    <w:p>
      <w:pPr>
        <w:spacing w:after="120" w:line="276"/>
      </w:pPr>
      <w:r>
        <w:rPr>
          <w:b/>
          <w:bCs/>
          <w:sz w:val="21"/>
          <w:szCs w:val="21"/>
        </w:rPr>
        <w:t xml:space="preserve">Lei nº 12.527/2011 (LAI) — </w:t>
      </w:r>
      <w:r>
        <w:rPr>
          <w:sz w:val="21"/>
          <w:szCs w:val="21"/>
        </w:rPr>
        <w:t xml:space="preserve">impõe o dever de transparência ativa quanto aos gastos públicos, fundamentando a publicação automática dos pagamentos realizados em ambiente de acesso público.</w:t>
      </w:r>
    </w:p>
    <w:p>
      <w:pPr>
        <w:spacing w:after="120" w:line="276"/>
      </w:pPr>
      <w:r>
        <w:rPr>
          <w:b/>
          <w:bCs/>
          <w:sz w:val="21"/>
          <w:szCs w:val="21"/>
        </w:rPr>
        <w:t xml:space="preserve">Lei nº 13.709/2018 (LGPD) — </w:t>
      </w:r>
      <w:r>
        <w:rPr>
          <w:sz w:val="21"/>
          <w:szCs w:val="21"/>
        </w:rPr>
        <w:t xml:space="preserve">exige tratamento adequado dos dados pessoais de fornecedores pessoa física e de prepostos de pessoas jurídicas cadastrados no Sistema, com controle de acesso, minimização de dados expostos publicamente e trilha de tratamento.</w:t>
      </w:r>
    </w:p>
    <w:p>
      <w:pPr>
        <w:pStyle w:val="Heading1"/>
        <w:spacing w:after="160" w:before="360"/>
      </w:pPr>
      <w:r>
        <w:t xml:space="preserve">3. Visão Geral da Arquitetura de Módulos</w:t>
      </w:r>
    </w:p>
    <w:p>
      <w:pPr>
        <w:spacing w:after="140" w:line="276"/>
      </w:pPr>
      <w:r>
        <w:rPr>
          <w:sz w:val="21"/>
          <w:szCs w:val="21"/>
        </w:rPr>
        <w:t xml:space="preserve">O Sistema será estruturado nos seguintes módulos, detalhados na Seção 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rPr>
          <w:tblHeader/>
        </w:trPr>
        <w:tc>
          <w:tcPr>
            <w:tcW w:type="dxa" w:w="1200"/>
            <w:shd w:fill="EAF1EF" w:color="auto" w:val="clear"/>
            <w:tcMar>
              <w:top w:type="dxa" w:w="80"/>
              <w:left w:type="dxa" w:w="100"/>
              <w:bottom w:type="dxa" w:w="80"/>
              <w:right w:type="dxa" w:w="100"/>
            </w:tcMar>
          </w:tcPr>
          <w:p>
            <w:r>
              <w:rPr>
                <w:b/>
                <w:bCs/>
                <w:sz w:val="20"/>
                <w:szCs w:val="20"/>
              </w:rPr>
              <w:t xml:space="preserve">Módulo</w:t>
            </w:r>
          </w:p>
        </w:tc>
        <w:tc>
          <w:tcPr>
            <w:tcW w:type="dxa" w:w="8800"/>
            <w:shd w:fill="EAF1EF" w:color="auto" w:val="clear"/>
            <w:tcMar>
              <w:top w:type="dxa" w:w="80"/>
              <w:left w:type="dxa" w:w="100"/>
              <w:bottom w:type="dxa" w:w="80"/>
              <w:right w:type="dxa" w:w="100"/>
            </w:tcMar>
          </w:tcPr>
          <w:p>
            <w:r>
              <w:rPr>
                <w:b/>
                <w:bCs/>
                <w:sz w:val="20"/>
                <w:szCs w:val="20"/>
              </w:rPr>
              <w:t xml:space="preserve">Descrição</w:t>
            </w:r>
          </w:p>
        </w:tc>
      </w:tr>
      <w:tr>
        <w:tc>
          <w:tcPr>
            <w:tcW w:type="dxa" w:w="1200"/>
            <w:tcMar>
              <w:top w:type="dxa" w:w="80"/>
              <w:left w:type="dxa" w:w="100"/>
              <w:bottom w:type="dxa" w:w="80"/>
              <w:right w:type="dxa" w:w="100"/>
            </w:tcMar>
          </w:tcPr>
          <w:p>
            <w:r>
              <w:rPr>
                <w:b/>
                <w:bCs/>
                <w:sz w:val="20"/>
                <w:szCs w:val="20"/>
              </w:rPr>
              <w:t xml:space="preserve">M1</w:t>
            </w:r>
          </w:p>
        </w:tc>
        <w:tc>
          <w:tcPr>
            <w:tcW w:type="dxa" w:w="8800"/>
            <w:tcMar>
              <w:top w:type="dxa" w:w="80"/>
              <w:left w:type="dxa" w:w="100"/>
              <w:bottom w:type="dxa" w:w="80"/>
              <w:right w:type="dxa" w:w="100"/>
            </w:tcMar>
          </w:tcPr>
          <w:p>
            <w:r>
              <w:rPr>
                <w:b w:val="false"/>
                <w:bCs w:val="false"/>
                <w:sz w:val="20"/>
                <w:szCs w:val="20"/>
              </w:rPr>
              <w:t xml:space="preserve">Cadastros Básicos</w:t>
            </w:r>
          </w:p>
        </w:tc>
      </w:tr>
      <w:tr>
        <w:tc>
          <w:tcPr>
            <w:tcW w:type="dxa" w:w="1200"/>
            <w:tcMar>
              <w:top w:type="dxa" w:w="80"/>
              <w:left w:type="dxa" w:w="100"/>
              <w:bottom w:type="dxa" w:w="80"/>
              <w:right w:type="dxa" w:w="100"/>
            </w:tcMar>
          </w:tcPr>
          <w:p>
            <w:r>
              <w:rPr>
                <w:b/>
                <w:bCs/>
                <w:sz w:val="20"/>
                <w:szCs w:val="20"/>
              </w:rPr>
              <w:t xml:space="preserve">M2</w:t>
            </w:r>
          </w:p>
        </w:tc>
        <w:tc>
          <w:tcPr>
            <w:tcW w:type="dxa" w:w="8800"/>
            <w:tcMar>
              <w:top w:type="dxa" w:w="80"/>
              <w:left w:type="dxa" w:w="100"/>
              <w:bottom w:type="dxa" w:w="80"/>
              <w:right w:type="dxa" w:w="100"/>
            </w:tcMar>
          </w:tcPr>
          <w:p>
            <w:r>
              <w:rPr>
                <w:b w:val="false"/>
                <w:bCs w:val="false"/>
                <w:sz w:val="20"/>
                <w:szCs w:val="20"/>
              </w:rPr>
              <w:t xml:space="preserve">Solicitação de Pagamento</w:t>
            </w:r>
          </w:p>
        </w:tc>
      </w:tr>
      <w:tr>
        <w:tc>
          <w:tcPr>
            <w:tcW w:type="dxa" w:w="1200"/>
            <w:tcMar>
              <w:top w:type="dxa" w:w="80"/>
              <w:left w:type="dxa" w:w="100"/>
              <w:bottom w:type="dxa" w:w="80"/>
              <w:right w:type="dxa" w:w="100"/>
            </w:tcMar>
          </w:tcPr>
          <w:p>
            <w:r>
              <w:rPr>
                <w:b/>
                <w:bCs/>
                <w:sz w:val="20"/>
                <w:szCs w:val="20"/>
              </w:rPr>
              <w:t xml:space="preserve">M3</w:t>
            </w:r>
          </w:p>
        </w:tc>
        <w:tc>
          <w:tcPr>
            <w:tcW w:type="dxa" w:w="8800"/>
            <w:tcMar>
              <w:top w:type="dxa" w:w="80"/>
              <w:left w:type="dxa" w:w="100"/>
              <w:bottom w:type="dxa" w:w="80"/>
              <w:right w:type="dxa" w:w="100"/>
            </w:tcMar>
          </w:tcPr>
          <w:p>
            <w:r>
              <w:rPr>
                <w:b w:val="false"/>
                <w:bCs w:val="false"/>
                <w:sz w:val="20"/>
                <w:szCs w:val="20"/>
              </w:rPr>
              <w:t xml:space="preserve">Fluxo de Aprovação (Workflow)</w:t>
            </w:r>
          </w:p>
        </w:tc>
      </w:tr>
      <w:tr>
        <w:tc>
          <w:tcPr>
            <w:tcW w:type="dxa" w:w="1200"/>
            <w:tcMar>
              <w:top w:type="dxa" w:w="80"/>
              <w:left w:type="dxa" w:w="100"/>
              <w:bottom w:type="dxa" w:w="80"/>
              <w:right w:type="dxa" w:w="100"/>
            </w:tcMar>
          </w:tcPr>
          <w:p>
            <w:r>
              <w:rPr>
                <w:b/>
                <w:bCs/>
                <w:sz w:val="20"/>
                <w:szCs w:val="20"/>
              </w:rPr>
              <w:t xml:space="preserve">M4</w:t>
            </w:r>
          </w:p>
        </w:tc>
        <w:tc>
          <w:tcPr>
            <w:tcW w:type="dxa" w:w="8800"/>
            <w:tcMar>
              <w:top w:type="dxa" w:w="80"/>
              <w:left w:type="dxa" w:w="100"/>
              <w:bottom w:type="dxa" w:w="80"/>
              <w:right w:type="dxa" w:w="100"/>
            </w:tcMar>
          </w:tcPr>
          <w:p>
            <w:r>
              <w:rPr>
                <w:b w:val="false"/>
                <w:bCs w:val="false"/>
                <w:sz w:val="20"/>
                <w:szCs w:val="20"/>
              </w:rPr>
              <w:t xml:space="preserve">Liberação/Autorização de Pagamento (Alta Gestão)</w:t>
            </w:r>
          </w:p>
        </w:tc>
      </w:tr>
      <w:tr>
        <w:tc>
          <w:tcPr>
            <w:tcW w:type="dxa" w:w="1200"/>
            <w:tcMar>
              <w:top w:type="dxa" w:w="80"/>
              <w:left w:type="dxa" w:w="100"/>
              <w:bottom w:type="dxa" w:w="80"/>
              <w:right w:type="dxa" w:w="100"/>
            </w:tcMar>
          </w:tcPr>
          <w:p>
            <w:r>
              <w:rPr>
                <w:b/>
                <w:bCs/>
                <w:sz w:val="20"/>
                <w:szCs w:val="20"/>
              </w:rPr>
              <w:t xml:space="preserve">M5</w:t>
            </w:r>
          </w:p>
        </w:tc>
        <w:tc>
          <w:tcPr>
            <w:tcW w:type="dxa" w:w="8800"/>
            <w:tcMar>
              <w:top w:type="dxa" w:w="80"/>
              <w:left w:type="dxa" w:w="100"/>
              <w:bottom w:type="dxa" w:w="80"/>
              <w:right w:type="dxa" w:w="100"/>
            </w:tcMar>
          </w:tcPr>
          <w:p>
            <w:r>
              <w:rPr>
                <w:b w:val="false"/>
                <w:bCs w:val="false"/>
                <w:sz w:val="20"/>
                <w:szCs w:val="20"/>
              </w:rPr>
              <w:t xml:space="preserve">Execução do Pagamento (Tesouraria)</w:t>
            </w:r>
          </w:p>
        </w:tc>
      </w:tr>
      <w:tr>
        <w:tc>
          <w:tcPr>
            <w:tcW w:type="dxa" w:w="1200"/>
            <w:tcMar>
              <w:top w:type="dxa" w:w="80"/>
              <w:left w:type="dxa" w:w="100"/>
              <w:bottom w:type="dxa" w:w="80"/>
              <w:right w:type="dxa" w:w="100"/>
            </w:tcMar>
          </w:tcPr>
          <w:p>
            <w:r>
              <w:rPr>
                <w:b/>
                <w:bCs/>
                <w:sz w:val="20"/>
                <w:szCs w:val="20"/>
              </w:rPr>
              <w:t xml:space="preserve">M6</w:t>
            </w:r>
          </w:p>
        </w:tc>
        <w:tc>
          <w:tcPr>
            <w:tcW w:type="dxa" w:w="8800"/>
            <w:tcMar>
              <w:top w:type="dxa" w:w="80"/>
              <w:left w:type="dxa" w:w="100"/>
              <w:bottom w:type="dxa" w:w="80"/>
              <w:right w:type="dxa" w:w="100"/>
            </w:tcMar>
          </w:tcPr>
          <w:p>
            <w:r>
              <w:rPr>
                <w:b w:val="false"/>
                <w:bCs w:val="false"/>
                <w:sz w:val="20"/>
                <w:szCs w:val="20"/>
              </w:rPr>
              <w:t xml:space="preserve">Contas Bancárias e Saldos</w:t>
            </w:r>
          </w:p>
        </w:tc>
      </w:tr>
      <w:tr>
        <w:tc>
          <w:tcPr>
            <w:tcW w:type="dxa" w:w="1200"/>
            <w:tcMar>
              <w:top w:type="dxa" w:w="80"/>
              <w:left w:type="dxa" w:w="100"/>
              <w:bottom w:type="dxa" w:w="80"/>
              <w:right w:type="dxa" w:w="100"/>
            </w:tcMar>
          </w:tcPr>
          <w:p>
            <w:r>
              <w:rPr>
                <w:b/>
                <w:bCs/>
                <w:sz w:val="20"/>
                <w:szCs w:val="20"/>
              </w:rPr>
              <w:t xml:space="preserve">M7</w:t>
            </w:r>
          </w:p>
        </w:tc>
        <w:tc>
          <w:tcPr>
            <w:tcW w:type="dxa" w:w="8800"/>
            <w:tcMar>
              <w:top w:type="dxa" w:w="80"/>
              <w:left w:type="dxa" w:w="100"/>
              <w:bottom w:type="dxa" w:w="80"/>
              <w:right w:type="dxa" w:w="100"/>
            </w:tcMar>
          </w:tcPr>
          <w:p>
            <w:r>
              <w:rPr>
                <w:b w:val="false"/>
                <w:bCs w:val="false"/>
                <w:sz w:val="20"/>
                <w:szCs w:val="20"/>
              </w:rPr>
              <w:t xml:space="preserve">Conciliação Bancária Automatizada (leitura de extratos)</w:t>
            </w:r>
          </w:p>
        </w:tc>
      </w:tr>
      <w:tr>
        <w:tc>
          <w:tcPr>
            <w:tcW w:type="dxa" w:w="1200"/>
            <w:tcMar>
              <w:top w:type="dxa" w:w="80"/>
              <w:left w:type="dxa" w:w="100"/>
              <w:bottom w:type="dxa" w:w="80"/>
              <w:right w:type="dxa" w:w="100"/>
            </w:tcMar>
          </w:tcPr>
          <w:p>
            <w:r>
              <w:rPr>
                <w:b/>
                <w:bCs/>
                <w:sz w:val="20"/>
                <w:szCs w:val="20"/>
              </w:rPr>
              <w:t xml:space="preserve">M8</w:t>
            </w:r>
          </w:p>
        </w:tc>
        <w:tc>
          <w:tcPr>
            <w:tcW w:type="dxa" w:w="8800"/>
            <w:tcMar>
              <w:top w:type="dxa" w:w="80"/>
              <w:left w:type="dxa" w:w="100"/>
              <w:bottom w:type="dxa" w:w="80"/>
              <w:right w:type="dxa" w:w="100"/>
            </w:tcMar>
          </w:tcPr>
          <w:p>
            <w:r>
              <w:rPr>
                <w:b w:val="false"/>
                <w:bCs w:val="false"/>
                <w:sz w:val="20"/>
                <w:szCs w:val="20"/>
              </w:rPr>
              <w:t xml:space="preserve">Extratos Bancários (repositório e consulta)</w:t>
            </w:r>
          </w:p>
        </w:tc>
      </w:tr>
      <w:tr>
        <w:tc>
          <w:tcPr>
            <w:tcW w:type="dxa" w:w="1200"/>
            <w:tcMar>
              <w:top w:type="dxa" w:w="80"/>
              <w:left w:type="dxa" w:w="100"/>
              <w:bottom w:type="dxa" w:w="80"/>
              <w:right w:type="dxa" w:w="100"/>
            </w:tcMar>
          </w:tcPr>
          <w:p>
            <w:r>
              <w:rPr>
                <w:b/>
                <w:bCs/>
                <w:sz w:val="20"/>
                <w:szCs w:val="20"/>
              </w:rPr>
              <w:t xml:space="preserve">M9</w:t>
            </w:r>
          </w:p>
        </w:tc>
        <w:tc>
          <w:tcPr>
            <w:tcW w:type="dxa" w:w="8800"/>
            <w:tcMar>
              <w:top w:type="dxa" w:w="80"/>
              <w:left w:type="dxa" w:w="100"/>
              <w:bottom w:type="dxa" w:w="80"/>
              <w:right w:type="dxa" w:w="100"/>
            </w:tcMar>
          </w:tcPr>
          <w:p>
            <w:r>
              <w:rPr>
                <w:b w:val="false"/>
                <w:bCs w:val="false"/>
                <w:sz w:val="20"/>
                <w:szCs w:val="20"/>
              </w:rPr>
              <w:t xml:space="preserve">Gestão de Despesas, Status e Criticidade</w:t>
            </w:r>
          </w:p>
        </w:tc>
      </w:tr>
      <w:tr>
        <w:tc>
          <w:tcPr>
            <w:tcW w:type="dxa" w:w="1200"/>
            <w:tcMar>
              <w:top w:type="dxa" w:w="80"/>
              <w:left w:type="dxa" w:w="100"/>
              <w:bottom w:type="dxa" w:w="80"/>
              <w:right w:type="dxa" w:w="100"/>
            </w:tcMar>
          </w:tcPr>
          <w:p>
            <w:r>
              <w:rPr>
                <w:b/>
                <w:bCs/>
                <w:sz w:val="20"/>
                <w:szCs w:val="20"/>
              </w:rPr>
              <w:t xml:space="preserve">M10</w:t>
            </w:r>
          </w:p>
        </w:tc>
        <w:tc>
          <w:tcPr>
            <w:tcW w:type="dxa" w:w="8800"/>
            <w:tcMar>
              <w:top w:type="dxa" w:w="80"/>
              <w:left w:type="dxa" w:w="100"/>
              <w:bottom w:type="dxa" w:w="80"/>
              <w:right w:type="dxa" w:w="100"/>
            </w:tcMar>
          </w:tcPr>
          <w:p>
            <w:r>
              <w:rPr>
                <w:b w:val="false"/>
                <w:bCs w:val="false"/>
                <w:sz w:val="20"/>
                <w:szCs w:val="20"/>
              </w:rPr>
              <w:t xml:space="preserve">Painéis Gerenciais e Relatórios</w:t>
            </w:r>
          </w:p>
        </w:tc>
      </w:tr>
      <w:tr>
        <w:tc>
          <w:tcPr>
            <w:tcW w:type="dxa" w:w="1200"/>
            <w:tcMar>
              <w:top w:type="dxa" w:w="80"/>
              <w:left w:type="dxa" w:w="100"/>
              <w:bottom w:type="dxa" w:w="80"/>
              <w:right w:type="dxa" w:w="100"/>
            </w:tcMar>
          </w:tcPr>
          <w:p>
            <w:r>
              <w:rPr>
                <w:b/>
                <w:bCs/>
                <w:sz w:val="20"/>
                <w:szCs w:val="20"/>
              </w:rPr>
              <w:t xml:space="preserve">M11</w:t>
            </w:r>
          </w:p>
        </w:tc>
        <w:tc>
          <w:tcPr>
            <w:tcW w:type="dxa" w:w="8800"/>
            <w:tcMar>
              <w:top w:type="dxa" w:w="80"/>
              <w:left w:type="dxa" w:w="100"/>
              <w:bottom w:type="dxa" w:w="80"/>
              <w:right w:type="dxa" w:w="100"/>
            </w:tcMar>
          </w:tcPr>
          <w:p>
            <w:r>
              <w:rPr>
                <w:b w:val="false"/>
                <w:bCs w:val="false"/>
                <w:sz w:val="20"/>
                <w:szCs w:val="20"/>
              </w:rPr>
              <w:t xml:space="preserve">Transparência Ativa (Portal)</w:t>
            </w:r>
          </w:p>
        </w:tc>
      </w:tr>
      <w:tr>
        <w:tc>
          <w:tcPr>
            <w:tcW w:type="dxa" w:w="1200"/>
            <w:tcMar>
              <w:top w:type="dxa" w:w="80"/>
              <w:left w:type="dxa" w:w="100"/>
              <w:bottom w:type="dxa" w:w="80"/>
              <w:right w:type="dxa" w:w="100"/>
            </w:tcMar>
          </w:tcPr>
          <w:p>
            <w:r>
              <w:rPr>
                <w:b/>
                <w:bCs/>
                <w:sz w:val="20"/>
                <w:szCs w:val="20"/>
              </w:rPr>
              <w:t xml:space="preserve">M12</w:t>
            </w:r>
          </w:p>
        </w:tc>
        <w:tc>
          <w:tcPr>
            <w:tcW w:type="dxa" w:w="8800"/>
            <w:tcMar>
              <w:top w:type="dxa" w:w="80"/>
              <w:left w:type="dxa" w:w="100"/>
              <w:bottom w:type="dxa" w:w="80"/>
              <w:right w:type="dxa" w:w="100"/>
            </w:tcMar>
          </w:tcPr>
          <w:p>
            <w:r>
              <w:rPr>
                <w:b w:val="false"/>
                <w:bCs w:val="false"/>
                <w:sz w:val="20"/>
                <w:szCs w:val="20"/>
              </w:rPr>
              <w:t xml:space="preserve">Auditoria e Trilha</w:t>
            </w:r>
          </w:p>
        </w:tc>
      </w:tr>
      <w:tr>
        <w:tc>
          <w:tcPr>
            <w:tcW w:type="dxa" w:w="1200"/>
            <w:tcMar>
              <w:top w:type="dxa" w:w="80"/>
              <w:left w:type="dxa" w:w="100"/>
              <w:bottom w:type="dxa" w:w="80"/>
              <w:right w:type="dxa" w:w="100"/>
            </w:tcMar>
          </w:tcPr>
          <w:p>
            <w:r>
              <w:rPr>
                <w:b/>
                <w:bCs/>
                <w:sz w:val="20"/>
                <w:szCs w:val="20"/>
              </w:rPr>
              <w:t xml:space="preserve">M13</w:t>
            </w:r>
          </w:p>
        </w:tc>
        <w:tc>
          <w:tcPr>
            <w:tcW w:type="dxa" w:w="8800"/>
            <w:tcMar>
              <w:top w:type="dxa" w:w="80"/>
              <w:left w:type="dxa" w:w="100"/>
              <w:bottom w:type="dxa" w:w="80"/>
              <w:right w:type="dxa" w:w="100"/>
            </w:tcMar>
          </w:tcPr>
          <w:p>
            <w:r>
              <w:rPr>
                <w:b w:val="false"/>
                <w:bCs w:val="false"/>
                <w:sz w:val="20"/>
                <w:szCs w:val="20"/>
              </w:rPr>
              <w:t xml:space="preserve">Segurança e Controle de Acesso</w:t>
            </w:r>
          </w:p>
        </w:tc>
      </w:tr>
    </w:tbl>
    <w:p>
      <w:pPr>
        <w:pStyle w:val="Heading1"/>
        <w:spacing w:after="160" w:before="360"/>
      </w:pPr>
      <w:r>
        <w:t xml:space="preserve">4. Perfis de Usuário</w:t>
      </w:r>
    </w:p>
    <w:p>
      <w:pPr>
        <w:pStyle w:val="ListParagraph"/>
        <w:numPr>
          <w:ilvl w:val="0"/>
          <w:numId w:val="1"/>
        </w:numPr>
        <w:spacing w:after="80" w:line="276"/>
      </w:pPr>
      <w:r>
        <w:t xml:space="preserve">Solicitante (unidade requisitante) — insere e acompanha os pedidos de pagamento de sua secretaria/órgão.</w:t>
      </w:r>
    </w:p>
    <w:p>
      <w:pPr>
        <w:pStyle w:val="ListParagraph"/>
        <w:numPr>
          <w:ilvl w:val="0"/>
          <w:numId w:val="1"/>
        </w:numPr>
        <w:spacing w:after="80" w:line="276"/>
      </w:pPr>
      <w:r>
        <w:t xml:space="preserve">Secretário da Pasta — valida os pedidos de sua secretaria antes do envio à autorização final.</w:t>
      </w:r>
    </w:p>
    <w:p>
      <w:pPr>
        <w:pStyle w:val="ListParagraph"/>
        <w:numPr>
          <w:ilvl w:val="0"/>
          <w:numId w:val="1"/>
        </w:numPr>
        <w:spacing w:after="80" w:line="276"/>
      </w:pPr>
      <w:r>
        <w:t xml:space="preserve">Autorizador Final (Prefeito e/ou Secretário de Finanças) — autoriza a liberação do pagamento, mediante avaliação de saldo e criticidade.</w:t>
      </w:r>
    </w:p>
    <w:p>
      <w:pPr>
        <w:pStyle w:val="ListParagraph"/>
        <w:numPr>
          <w:ilvl w:val="0"/>
          <w:numId w:val="1"/>
        </w:numPr>
        <w:spacing w:after="80" w:line="276"/>
      </w:pPr>
      <w:r>
        <w:t xml:space="preserve">Tesouraria — executa financeiramente o pagamento autorizado, registra a baixa e realiza a conciliação bancária.</w:t>
      </w:r>
    </w:p>
    <w:p>
      <w:pPr>
        <w:pStyle w:val="ListParagraph"/>
        <w:numPr>
          <w:ilvl w:val="0"/>
          <w:numId w:val="1"/>
        </w:numPr>
        <w:spacing w:after="80" w:line="276"/>
      </w:pPr>
      <w:r>
        <w:t xml:space="preserve">Controle Interno/Auditoria — acompanha e fiscaliza todo o fluxo, com acesso irrestrito de consulta e trilha de auditoria.</w:t>
      </w:r>
    </w:p>
    <w:p>
      <w:pPr>
        <w:pStyle w:val="ListParagraph"/>
        <w:numPr>
          <w:ilvl w:val="0"/>
          <w:numId w:val="1"/>
        </w:numPr>
        <w:spacing w:after="80" w:line="276"/>
      </w:pPr>
      <w:r>
        <w:t xml:space="preserve">Administrador do Sistema — realiza parametrizações, cadastros básicos e gestão de perfis de acesso.</w:t>
      </w:r>
    </w:p>
    <w:p>
      <w:pPr>
        <w:pStyle w:val="Heading1"/>
        <w:spacing w:after="160" w:before="360"/>
      </w:pPr>
      <w:r>
        <w:t xml:space="preserve">5. Fluxo Macro do Processo</w:t>
      </w:r>
    </w:p>
    <w:p>
      <w:pPr>
        <w:pStyle w:val="ListParagraph"/>
        <w:numPr>
          <w:ilvl w:val="0"/>
          <w:numId w:val="1"/>
        </w:numPr>
        <w:spacing w:after="80" w:line="276"/>
      </w:pPr>
      <w:r>
        <w:t xml:space="preserve">1. A unidade requisitante insere o pedido de pagamento, vinculando NE, NF, contrato (quando houver), credor, valor, natureza da despesa, vencimento, competência e criticidade.</w:t>
      </w:r>
    </w:p>
    <w:p>
      <w:pPr>
        <w:pStyle w:val="ListParagraph"/>
        <w:numPr>
          <w:ilvl w:val="0"/>
          <w:numId w:val="1"/>
        </w:numPr>
        <w:spacing w:after="80" w:line="276"/>
      </w:pPr>
      <w:r>
        <w:t xml:space="preserve">2. O Secretário da pasta analisa e aprova (ou devolve/rejeita, com justificativa) o encaminhamento do pedido.</w:t>
      </w:r>
    </w:p>
    <w:p>
      <w:pPr>
        <w:pStyle w:val="ListParagraph"/>
        <w:numPr>
          <w:ilvl w:val="0"/>
          <w:numId w:val="1"/>
        </w:numPr>
        <w:spacing w:after="80" w:line="276"/>
      </w:pPr>
      <w:r>
        <w:t xml:space="preserve">3. O pedido aprovado é encaminhado ao Autorizador Final, que avalia o saldo disponível na conta/fonte vinculada e autoriza, devolve ou rejeita o pagamento.</w:t>
      </w:r>
    </w:p>
    <w:p>
      <w:pPr>
        <w:pStyle w:val="ListParagraph"/>
        <w:numPr>
          <w:ilvl w:val="0"/>
          <w:numId w:val="1"/>
        </w:numPr>
        <w:spacing w:after="80" w:line="276"/>
      </w:pPr>
      <w:r>
        <w:t xml:space="preserve">4. Pedidos autorizados são disponibilizados na fila de execução da Tesouraria, ordenados por criticidade e vencimento.</w:t>
      </w:r>
    </w:p>
    <w:p>
      <w:pPr>
        <w:pStyle w:val="ListParagraph"/>
        <w:numPr>
          <w:ilvl w:val="0"/>
          <w:numId w:val="1"/>
        </w:numPr>
        <w:spacing w:after="80" w:line="276"/>
      </w:pPr>
      <w:r>
        <w:t xml:space="preserve">5. A Tesouraria executa o pagamento e registra a baixa, ou aguarda a conciliação automática do extrato bancário para baixa por conciliação.</w:t>
      </w:r>
    </w:p>
    <w:p>
      <w:pPr>
        <w:pStyle w:val="ListParagraph"/>
        <w:numPr>
          <w:ilvl w:val="0"/>
          <w:numId w:val="1"/>
        </w:numPr>
        <w:spacing w:after="80" w:line="276"/>
      </w:pPr>
      <w:r>
        <w:t xml:space="preserve">6. O Sistema atualiza o saldo da conta bancária correspondente, preferencialmente por leitura automatizada do extrato bancário (upload de PDF ou integração bancária), conciliando os lançamentos identificados com os pedidos autorizados e propondo baixa automática para os casos de correspondência exata, sujeita à confirmação da Tesouraria nos demais casos.</w:t>
      </w:r>
    </w:p>
    <w:p>
      <w:r>
        <w:br w:type="page"/>
      </w:r>
    </w:p>
    <w:p>
      <w:pPr>
        <w:pStyle w:val="Heading1"/>
        <w:spacing w:after="160" w:before="360"/>
      </w:pPr>
      <w:r>
        <w:t xml:space="preserve">6. Requisitos por Módulo</w:t>
      </w:r>
    </w:p>
    <w:p>
      <w:pPr>
        <w:spacing w:after="140" w:line="276"/>
      </w:pPr>
      <w:r>
        <w:rPr>
          <w:sz w:val="21"/>
          <w:szCs w:val="21"/>
        </w:rPr>
        <w:t xml:space="preserve">Cada requisito funcional (RF) é classificado quanto à prioridade em: Essencial (indispensável para operação mínima do fluxo legal de pagamento), Importante (necessário para controle gerencial adequado) ou Desejável (agrega valor, podendo ser incorporado em fase posterior).</w:t>
      </w:r>
    </w:p>
    <w:p>
      <w:pPr>
        <w:pStyle w:val="Heading2"/>
        <w:spacing w:after="120" w:before="260"/>
      </w:pPr>
      <w:r>
        <w:t xml:space="preserve">6.1 — M1 — Cadastros Básicos</w:t>
      </w:r>
    </w:p>
    <w:p>
      <w:pPr>
        <w:spacing w:after="140" w:line="276"/>
      </w:pPr>
      <w:r>
        <w:rPr>
          <w:sz w:val="21"/>
          <w:szCs w:val="21"/>
        </w:rPr>
        <w:t xml:space="preserve">Módulo responsável pela parametrização das entidades que sustentam todo o fluxo de pagamento.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RF01</w:t>
            </w:r>
          </w:p>
        </w:tc>
        <w:tc>
          <w:tcPr>
            <w:tcW w:type="dxa" w:w="7600"/>
            <w:tcMar>
              <w:top w:type="dxa" w:w="80"/>
              <w:left w:type="dxa" w:w="100"/>
              <w:bottom w:type="dxa" w:w="80"/>
              <w:right w:type="dxa" w:w="100"/>
            </w:tcMar>
          </w:tcPr>
          <w:p>
            <w:r>
              <w:rPr>
                <w:b w:val="false"/>
                <w:bCs w:val="false"/>
                <w:sz w:val="20"/>
                <w:szCs w:val="20"/>
              </w:rPr>
              <w:t xml:space="preserve">Cadastrar Órgãos/Secretarias, com código orçamentário, unidade gestora e responsável.</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RF02</w:t>
            </w:r>
          </w:p>
        </w:tc>
        <w:tc>
          <w:tcPr>
            <w:tcW w:type="dxa" w:w="7600"/>
            <w:tcMar>
              <w:top w:type="dxa" w:w="80"/>
              <w:left w:type="dxa" w:w="100"/>
              <w:bottom w:type="dxa" w:w="80"/>
              <w:right w:type="dxa" w:w="100"/>
            </w:tcMar>
          </w:tcPr>
          <w:p>
            <w:r>
              <w:rPr>
                <w:b w:val="false"/>
                <w:bCs w:val="false"/>
                <w:sz w:val="20"/>
                <w:szCs w:val="20"/>
              </w:rPr>
              <w:t xml:space="preserve">Cadastrar Fornecedores/Credores (CNPJ/CPF, dados bancários — banco, agência, conta, chave PIX — e situação cadastral).</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RF03</w:t>
            </w:r>
          </w:p>
        </w:tc>
        <w:tc>
          <w:tcPr>
            <w:tcW w:type="dxa" w:w="7600"/>
            <w:tcMar>
              <w:top w:type="dxa" w:w="80"/>
              <w:left w:type="dxa" w:w="100"/>
              <w:bottom w:type="dxa" w:w="80"/>
              <w:right w:type="dxa" w:w="100"/>
            </w:tcMar>
          </w:tcPr>
          <w:p>
            <w:r>
              <w:rPr>
                <w:b w:val="false"/>
                <w:bCs w:val="false"/>
                <w:sz w:val="20"/>
                <w:szCs w:val="20"/>
              </w:rPr>
              <w:t xml:space="preserve">Cadastrar Contas Bancárias municipais, vinculando fonte de recursos e grupo de despesa, com bloqueio de combinações incompatíveis entre fonte e grupo de financiamento.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RF04</w:t>
            </w:r>
          </w:p>
        </w:tc>
        <w:tc>
          <w:tcPr>
            <w:tcW w:type="dxa" w:w="7600"/>
            <w:tcMar>
              <w:top w:type="dxa" w:w="80"/>
              <w:left w:type="dxa" w:w="100"/>
              <w:bottom w:type="dxa" w:w="80"/>
              <w:right w:type="dxa" w:w="100"/>
            </w:tcMar>
          </w:tcPr>
          <w:p>
            <w:r>
              <w:rPr>
                <w:b w:val="false"/>
                <w:bCs w:val="false"/>
                <w:sz w:val="20"/>
                <w:szCs w:val="20"/>
              </w:rPr>
              <w:t xml:space="preserve">Cadastrar Naturezas/Categorias de Despesa (ex.: transporte, medicamentos, alimentação escolar, pessoal, obrigatória) com criticidade padrão parametrizável.</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RF05</w:t>
            </w:r>
          </w:p>
        </w:tc>
        <w:tc>
          <w:tcPr>
            <w:tcW w:type="dxa" w:w="7600"/>
            <w:tcMar>
              <w:top w:type="dxa" w:w="80"/>
              <w:left w:type="dxa" w:w="100"/>
              <w:bottom w:type="dxa" w:w="80"/>
              <w:right w:type="dxa" w:w="100"/>
            </w:tcMar>
          </w:tcPr>
          <w:p>
            <w:r>
              <w:rPr>
                <w:b w:val="false"/>
                <w:bCs w:val="false"/>
                <w:sz w:val="20"/>
                <w:szCs w:val="20"/>
              </w:rPr>
              <w:t xml:space="preserve">Cadastrar Contratos administrativos vinculados a fornecedor e órgão, com vigência, valor total e saldo consumido.</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RF06</w:t>
            </w:r>
          </w:p>
        </w:tc>
        <w:tc>
          <w:tcPr>
            <w:tcW w:type="dxa" w:w="7600"/>
            <w:tcMar>
              <w:top w:type="dxa" w:w="80"/>
              <w:left w:type="dxa" w:w="100"/>
              <w:bottom w:type="dxa" w:w="80"/>
              <w:right w:type="dxa" w:w="100"/>
            </w:tcMar>
          </w:tcPr>
          <w:p>
            <w:r>
              <w:rPr>
                <w:b w:val="false"/>
                <w:bCs w:val="false"/>
                <w:sz w:val="20"/>
                <w:szCs w:val="20"/>
              </w:rPr>
              <w:t xml:space="preserve">Cadastrar perfis de acesso e níveis de fidúcia conforme as atribuições de cada usuário, com trilha de criação e alteração.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RF07</w:t>
            </w:r>
          </w:p>
        </w:tc>
        <w:tc>
          <w:tcPr>
            <w:tcW w:type="dxa" w:w="7600"/>
            <w:tcMar>
              <w:top w:type="dxa" w:w="80"/>
              <w:left w:type="dxa" w:w="100"/>
              <w:bottom w:type="dxa" w:w="80"/>
              <w:right w:type="dxa" w:w="100"/>
            </w:tcMar>
          </w:tcPr>
          <w:p>
            <w:r>
              <w:rPr>
                <w:b w:val="false"/>
                <w:bCs w:val="false"/>
                <w:sz w:val="20"/>
                <w:szCs w:val="20"/>
              </w:rPr>
              <w:t xml:space="preserve">Parametrizar limites de alçada de autorização por valor e por natureza de despesa.</w:t>
            </w:r>
          </w:p>
        </w:tc>
        <w:tc>
          <w:tcPr>
            <w:tcW w:type="dxa" w:w="1500"/>
            <w:tcMar>
              <w:top w:type="dxa" w:w="80"/>
              <w:left w:type="dxa" w:w="100"/>
              <w:bottom w:type="dxa" w:w="80"/>
              <w:right w:type="dxa" w:w="100"/>
            </w:tcMar>
          </w:tcPr>
          <w:p>
            <w:r>
              <w:rPr>
                <w:b w:val="false"/>
                <w:bCs w:val="false"/>
                <w:sz w:val="20"/>
                <w:szCs w:val="20"/>
              </w:rPr>
              <w:t xml:space="preserve">Importante</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Não é permitido cadastrar conta bancária sem vínculo a, no mínimo, uma fonte de recursos.</w:t>
      </w:r>
    </w:p>
    <w:p>
      <w:pPr>
        <w:pStyle w:val="ListParagraph"/>
        <w:numPr>
          <w:ilvl w:val="0"/>
          <w:numId w:val="1"/>
        </w:numPr>
        <w:spacing w:after="80" w:line="276"/>
      </w:pPr>
      <w:r>
        <w:t xml:space="preserve">O Sistema deve bloquear a seleção de combinações Fonte × Grupo de despesa incompatíveis, impedindo a associação de dotações orçamentárias incoerentes com o grupo de financiamento.</w:t>
      </w:r>
    </w:p>
    <w:p>
      <w:pPr>
        <w:pStyle w:val="ListParagraph"/>
        <w:numPr>
          <w:ilvl w:val="0"/>
          <w:numId w:val="1"/>
        </w:numPr>
        <w:spacing w:after="80" w:line="276"/>
      </w:pPr>
      <w:r>
        <w:t xml:space="preserve">Fornecedores com pendências cadastrais (irregularidade de CNPJ, inscrição em cadastros de sanções, débitos) devem ser sinalizados visualmente ao solicitante e ao autorizador no momento da seleção.</w:t>
      </w:r>
    </w:p>
    <w:p>
      <w:pPr>
        <w:pStyle w:val="Heading2"/>
        <w:spacing w:after="120" w:before="260"/>
      </w:pPr>
      <w:r>
        <w:t xml:space="preserve">6.2 — M2 — Solicitação de Pagamento</w:t>
      </w:r>
    </w:p>
    <w:p>
      <w:pPr>
        <w:spacing w:after="140" w:line="276"/>
      </w:pPr>
      <w:r>
        <w:rPr>
          <w:sz w:val="21"/>
          <w:szCs w:val="21"/>
        </w:rPr>
        <w:t xml:space="preserve">Módulo utilizado pela unidade requisitante para formalizar o pedido de pagamento.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RF08</w:t>
            </w:r>
          </w:p>
        </w:tc>
        <w:tc>
          <w:tcPr>
            <w:tcW w:type="dxa" w:w="7600"/>
            <w:tcMar>
              <w:top w:type="dxa" w:w="80"/>
              <w:left w:type="dxa" w:w="100"/>
              <w:bottom w:type="dxa" w:w="80"/>
              <w:right w:type="dxa" w:w="100"/>
            </w:tcMar>
          </w:tcPr>
          <w:p>
            <w:r>
              <w:rPr>
                <w:b w:val="false"/>
                <w:bCs w:val="false"/>
                <w:sz w:val="20"/>
                <w:szCs w:val="20"/>
              </w:rPr>
              <w:t xml:space="preserve">Registrar pedido de pagamento contendo credor, natureza de despesa, valor, número da NE, número da NF, número do contrato (quando houver), vencimento, competência, fonte de recursos e criticidade.</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RF09</w:t>
            </w:r>
          </w:p>
        </w:tc>
        <w:tc>
          <w:tcPr>
            <w:tcW w:type="dxa" w:w="7600"/>
            <w:tcMar>
              <w:top w:type="dxa" w:w="80"/>
              <w:left w:type="dxa" w:w="100"/>
              <w:bottom w:type="dxa" w:w="80"/>
              <w:right w:type="dxa" w:w="100"/>
            </w:tcMar>
          </w:tcPr>
          <w:p>
            <w:r>
              <w:rPr>
                <w:b w:val="false"/>
                <w:bCs w:val="false"/>
                <w:sz w:val="20"/>
                <w:szCs w:val="20"/>
              </w:rPr>
              <w:t xml:space="preserve">Anexar documentos digitais (NF, NE, comprovantes, termo de atesto do recebimento do bem/serviço) em PDF ou imagem.</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RF10</w:t>
            </w:r>
          </w:p>
        </w:tc>
        <w:tc>
          <w:tcPr>
            <w:tcW w:type="dxa" w:w="7600"/>
            <w:tcMar>
              <w:top w:type="dxa" w:w="80"/>
              <w:left w:type="dxa" w:w="100"/>
              <w:bottom w:type="dxa" w:w="80"/>
              <w:right w:type="dxa" w:w="100"/>
            </w:tcMar>
          </w:tcPr>
          <w:p>
            <w:r>
              <w:rPr>
                <w:b w:val="false"/>
                <w:bCs w:val="false"/>
                <w:sz w:val="20"/>
                <w:szCs w:val="20"/>
              </w:rPr>
              <w:t xml:space="preserve">Validar automaticamente a consistência entre o valor solicitado e o saldo remanescente do contrato vinculado, quando houver.</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RF11</w:t>
            </w:r>
          </w:p>
        </w:tc>
        <w:tc>
          <w:tcPr>
            <w:tcW w:type="dxa" w:w="7600"/>
            <w:tcMar>
              <w:top w:type="dxa" w:w="80"/>
              <w:left w:type="dxa" w:w="100"/>
              <w:bottom w:type="dxa" w:w="80"/>
              <w:right w:type="dxa" w:w="100"/>
            </w:tcMar>
          </w:tcPr>
          <w:p>
            <w:r>
              <w:rPr>
                <w:b w:val="false"/>
                <w:bCs w:val="false"/>
                <w:sz w:val="20"/>
                <w:szCs w:val="20"/>
              </w:rPr>
              <w:t xml:space="preserve">Gerar número único de protocolo para cada pedido de pagamento.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RF12</w:t>
            </w:r>
          </w:p>
        </w:tc>
        <w:tc>
          <w:tcPr>
            <w:tcW w:type="dxa" w:w="7600"/>
            <w:tcMar>
              <w:top w:type="dxa" w:w="80"/>
              <w:left w:type="dxa" w:w="100"/>
              <w:bottom w:type="dxa" w:w="80"/>
              <w:right w:type="dxa" w:w="100"/>
            </w:tcMar>
          </w:tcPr>
          <w:p>
            <w:r>
              <w:rPr>
                <w:b w:val="false"/>
                <w:bCs w:val="false"/>
                <w:sz w:val="20"/>
                <w:szCs w:val="20"/>
              </w:rPr>
              <w:t xml:space="preserve">Permitir edição ou cancelamento do pedido pelo próprio solicitante enquanto não enviado ao Secretário.</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RF13</w:t>
            </w:r>
          </w:p>
        </w:tc>
        <w:tc>
          <w:tcPr>
            <w:tcW w:type="dxa" w:w="7600"/>
            <w:tcMar>
              <w:top w:type="dxa" w:w="80"/>
              <w:left w:type="dxa" w:w="100"/>
              <w:bottom w:type="dxa" w:w="80"/>
              <w:right w:type="dxa" w:w="100"/>
            </w:tcMar>
          </w:tcPr>
          <w:p>
            <w:r>
              <w:rPr>
                <w:b w:val="false"/>
                <w:bCs w:val="false"/>
                <w:sz w:val="20"/>
                <w:szCs w:val="20"/>
              </w:rPr>
              <w:t xml:space="preserve">Exigir justificativa obrigatória quando o solicitante marcar o pedido como urgente.</w:t>
            </w:r>
          </w:p>
        </w:tc>
        <w:tc>
          <w:tcPr>
            <w:tcW w:type="dxa" w:w="1500"/>
            <w:tcMar>
              <w:top w:type="dxa" w:w="80"/>
              <w:left w:type="dxa" w:w="100"/>
              <w:bottom w:type="dxa" w:w="80"/>
              <w:right w:type="dxa" w:w="100"/>
            </w:tcMar>
          </w:tcPr>
          <w:p>
            <w:r>
              <w:rPr>
                <w:b w:val="false"/>
                <w:bCs w:val="false"/>
                <w:sz w:val="20"/>
                <w:szCs w:val="20"/>
              </w:rPr>
              <w:t xml:space="preserve">Essencial</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Todo pedido de pagamento deve obrigatoriamente referenciar número de NE e de NF; a ausência de qualquer um deles impede o envio do pedido para aprovação, ressalvadas exceções cadastradas pelo Administrador (ex.: despesas de pequeno vulto regularmente dispensadas).</w:t>
      </w:r>
    </w:p>
    <w:p>
      <w:pPr>
        <w:pStyle w:val="ListParagraph"/>
        <w:numPr>
          <w:ilvl w:val="0"/>
          <w:numId w:val="1"/>
        </w:numPr>
        <w:spacing w:after="80" w:line="276"/>
      </w:pPr>
      <w:r>
        <w:t xml:space="preserve">O atesto de recebimento do bem/serviço, quando anexado, deve conter identificação do servidor responsável.</w:t>
      </w:r>
    </w:p>
    <w:p>
      <w:pPr>
        <w:pStyle w:val="Heading2"/>
        <w:spacing w:after="120" w:before="260"/>
      </w:pPr>
      <w:r>
        <w:t xml:space="preserve">6.3 — M3 — Fluxo de Aprovação (Workflow)</w:t>
      </w:r>
    </w:p>
    <w:p>
      <w:pPr>
        <w:spacing w:after="140" w:line="276"/>
      </w:pPr>
      <w:r>
        <w:rPr>
          <w:sz w:val="21"/>
          <w:szCs w:val="21"/>
        </w:rPr>
        <w:t xml:space="preserve">Módulo que conduz o pedido pelas etapas de validação até a autorização final.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RF14</w:t>
            </w:r>
          </w:p>
        </w:tc>
        <w:tc>
          <w:tcPr>
            <w:tcW w:type="dxa" w:w="7600"/>
            <w:tcMar>
              <w:top w:type="dxa" w:w="80"/>
              <w:left w:type="dxa" w:w="100"/>
              <w:bottom w:type="dxa" w:w="80"/>
              <w:right w:type="dxa" w:w="100"/>
            </w:tcMar>
          </w:tcPr>
          <w:p>
            <w:r>
              <w:rPr>
                <w:b w:val="false"/>
                <w:bCs w:val="false"/>
                <w:sz w:val="20"/>
                <w:szCs w:val="20"/>
              </w:rPr>
              <w:t xml:space="preserve">Encaminhar automaticamente o pedido para aprovação do Secretário da pasta após a inclusão pelo solicitante.</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RF15</w:t>
            </w:r>
          </w:p>
        </w:tc>
        <w:tc>
          <w:tcPr>
            <w:tcW w:type="dxa" w:w="7600"/>
            <w:tcMar>
              <w:top w:type="dxa" w:w="80"/>
              <w:left w:type="dxa" w:w="100"/>
              <w:bottom w:type="dxa" w:w="80"/>
              <w:right w:type="dxa" w:w="100"/>
            </w:tcMar>
          </w:tcPr>
          <w:p>
            <w:r>
              <w:rPr>
                <w:b w:val="false"/>
                <w:bCs w:val="false"/>
                <w:sz w:val="20"/>
                <w:szCs w:val="20"/>
              </w:rPr>
              <w:t xml:space="preserve">Permitir ao Secretário aprovar, devolver com justificativa ou rejeitar o pedido.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RF16</w:t>
            </w:r>
          </w:p>
        </w:tc>
        <w:tc>
          <w:tcPr>
            <w:tcW w:type="dxa" w:w="7600"/>
            <w:tcMar>
              <w:top w:type="dxa" w:w="80"/>
              <w:left w:type="dxa" w:w="100"/>
              <w:bottom w:type="dxa" w:w="80"/>
              <w:right w:type="dxa" w:w="100"/>
            </w:tcMar>
          </w:tcPr>
          <w:p>
            <w:r>
              <w:rPr>
                <w:b w:val="false"/>
                <w:bCs w:val="false"/>
                <w:sz w:val="20"/>
                <w:szCs w:val="20"/>
              </w:rPr>
              <w:t xml:space="preserve">Encaminhar automaticamente os pedidos aprovados pelo Secretário para a fila do Autorizador Final.</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RF17</w:t>
            </w:r>
          </w:p>
        </w:tc>
        <w:tc>
          <w:tcPr>
            <w:tcW w:type="dxa" w:w="7600"/>
            <w:tcMar>
              <w:top w:type="dxa" w:w="80"/>
              <w:left w:type="dxa" w:w="100"/>
              <w:bottom w:type="dxa" w:w="80"/>
              <w:right w:type="dxa" w:w="100"/>
            </w:tcMar>
          </w:tcPr>
          <w:p>
            <w:r>
              <w:rPr>
                <w:b w:val="false"/>
                <w:bCs w:val="false"/>
                <w:sz w:val="20"/>
                <w:szCs w:val="20"/>
              </w:rPr>
              <w:t xml:space="preserve">Registrar prazo (SLA) em cada etapa do fluxo, com alertas de pendência configuráveis.</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RF18</w:t>
            </w:r>
          </w:p>
        </w:tc>
        <w:tc>
          <w:tcPr>
            <w:tcW w:type="dxa" w:w="7600"/>
            <w:tcMar>
              <w:top w:type="dxa" w:w="80"/>
              <w:left w:type="dxa" w:w="100"/>
              <w:bottom w:type="dxa" w:w="80"/>
              <w:right w:type="dxa" w:w="100"/>
            </w:tcMar>
          </w:tcPr>
          <w:p>
            <w:r>
              <w:rPr>
                <w:b w:val="false"/>
                <w:bCs w:val="false"/>
                <w:sz w:val="20"/>
                <w:szCs w:val="20"/>
              </w:rPr>
              <w:t xml:space="preserve">Permitir configuração de fluxo diferenciado por faixa de valor ou tipo de despesa (ex.: alçada delegada para valores reduzidos).</w:t>
            </w:r>
          </w:p>
        </w:tc>
        <w:tc>
          <w:tcPr>
            <w:tcW w:type="dxa" w:w="1500"/>
            <w:tcMar>
              <w:top w:type="dxa" w:w="80"/>
              <w:left w:type="dxa" w:w="100"/>
              <w:bottom w:type="dxa" w:w="80"/>
              <w:right w:type="dxa" w:w="100"/>
            </w:tcMar>
          </w:tcPr>
          <w:p>
            <w:r>
              <w:rPr>
                <w:b w:val="false"/>
                <w:bCs w:val="false"/>
                <w:sz w:val="20"/>
                <w:szCs w:val="20"/>
              </w:rPr>
              <w:t xml:space="preserve">Desejável</w:t>
            </w:r>
          </w:p>
        </w:tc>
      </w:tr>
      <w:tr>
        <w:tc>
          <w:tcPr>
            <w:tcW w:type="dxa" w:w="900"/>
            <w:tcMar>
              <w:top w:type="dxa" w:w="80"/>
              <w:left w:type="dxa" w:w="100"/>
              <w:bottom w:type="dxa" w:w="80"/>
              <w:right w:type="dxa" w:w="100"/>
            </w:tcMar>
          </w:tcPr>
          <w:p>
            <w:r>
              <w:rPr>
                <w:b w:val="false"/>
                <w:bCs w:val="false"/>
                <w:sz w:val="20"/>
                <w:szCs w:val="20"/>
              </w:rPr>
              <w:t xml:space="preserve">RF19</w:t>
            </w:r>
          </w:p>
        </w:tc>
        <w:tc>
          <w:tcPr>
            <w:tcW w:type="dxa" w:w="7600"/>
            <w:tcMar>
              <w:top w:type="dxa" w:w="80"/>
              <w:left w:type="dxa" w:w="100"/>
              <w:bottom w:type="dxa" w:w="80"/>
              <w:right w:type="dxa" w:w="100"/>
            </w:tcMar>
          </w:tcPr>
          <w:p>
            <w:r>
              <w:rPr>
                <w:b w:val="false"/>
                <w:bCs w:val="false"/>
                <w:sz w:val="20"/>
                <w:szCs w:val="20"/>
              </w:rPr>
              <w:t xml:space="preserve">Notificar por e-mail e por alerta no Sistema os responsáveis por cada etapa quando houver pedido pendente sob sua responsabilidade.</w:t>
            </w:r>
          </w:p>
        </w:tc>
        <w:tc>
          <w:tcPr>
            <w:tcW w:type="dxa" w:w="1500"/>
            <w:tcMar>
              <w:top w:type="dxa" w:w="80"/>
              <w:left w:type="dxa" w:w="100"/>
              <w:bottom w:type="dxa" w:w="80"/>
              <w:right w:type="dxa" w:w="100"/>
            </w:tcMar>
          </w:tcPr>
          <w:p>
            <w:r>
              <w:rPr>
                <w:b w:val="false"/>
                <w:bCs w:val="false"/>
                <w:sz w:val="20"/>
                <w:szCs w:val="20"/>
              </w:rPr>
              <w:t xml:space="preserve">Importante</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Nenhuma etapa do fluxo pode ser suprimida ou executada pelo mesmo usuário que realizou a etapa anterior (segregação de funções), ressalvadas as exceções expressamente parametrizadas pelo Administrador.</w:t>
      </w:r>
    </w:p>
    <w:p>
      <w:pPr>
        <w:pStyle w:val="ListParagraph"/>
        <w:numPr>
          <w:ilvl w:val="0"/>
          <w:numId w:val="1"/>
        </w:numPr>
        <w:spacing w:after="80" w:line="276"/>
      </w:pPr>
      <w:r>
        <w:t xml:space="preserve">Devoluções e rejeições devem obrigatoriamente conter justificativa textual, visível ao solicitante original.</w:t>
      </w:r>
    </w:p>
    <w:p>
      <w:pPr>
        <w:pStyle w:val="Heading2"/>
        <w:spacing w:after="120" w:before="260"/>
      </w:pPr>
      <w:r>
        <w:t xml:space="preserve">6.4 — M4 — Liberação e Autorização de Pagamento (Alta Gestão)</w:t>
      </w:r>
    </w:p>
    <w:p>
      <w:pPr>
        <w:spacing w:after="140" w:line="276"/>
      </w:pPr>
      <w:r>
        <w:rPr>
          <w:sz w:val="21"/>
          <w:szCs w:val="21"/>
        </w:rPr>
        <w:t xml:space="preserve">Módulo de uso exclusivo da Alta Gestão (Prefeito e/ou Secretário de Finanças), inspirado na sistemática de liberação de pagamentos já praticada em módulos financeiros municipais similares, permitindo a visualização consolidada das despesas pendentes e a autorização seletiva conforme prioridade.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RF20</w:t>
            </w:r>
          </w:p>
        </w:tc>
        <w:tc>
          <w:tcPr>
            <w:tcW w:type="dxa" w:w="7600"/>
            <w:tcMar>
              <w:top w:type="dxa" w:w="80"/>
              <w:left w:type="dxa" w:w="100"/>
              <w:bottom w:type="dxa" w:w="80"/>
              <w:right w:type="dxa" w:w="100"/>
            </w:tcMar>
          </w:tcPr>
          <w:p>
            <w:r>
              <w:rPr>
                <w:b w:val="false"/>
                <w:bCs w:val="false"/>
                <w:sz w:val="20"/>
                <w:szCs w:val="20"/>
              </w:rPr>
              <w:t xml:space="preserve">Exibir todas as despesas pendentes de autorização, agrupadas por Tipo ou por Categoria de despesa, mediante alternância de visualização.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RF21</w:t>
            </w:r>
          </w:p>
        </w:tc>
        <w:tc>
          <w:tcPr>
            <w:tcW w:type="dxa" w:w="7600"/>
            <w:tcMar>
              <w:top w:type="dxa" w:w="80"/>
              <w:left w:type="dxa" w:w="100"/>
              <w:bottom w:type="dxa" w:w="80"/>
              <w:right w:type="dxa" w:w="100"/>
            </w:tcMar>
          </w:tcPr>
          <w:p>
            <w:r>
              <w:rPr>
                <w:b w:val="false"/>
                <w:bCs w:val="false"/>
                <w:sz w:val="20"/>
                <w:szCs w:val="20"/>
              </w:rPr>
              <w:t xml:space="preserve">Permitir filtro por ano, período, fonte de recursos, grupo de despesa, tipo de despesa, status e órgão/secretaria.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RF22</w:t>
            </w:r>
          </w:p>
        </w:tc>
        <w:tc>
          <w:tcPr>
            <w:tcW w:type="dxa" w:w="7600"/>
            <w:tcMar>
              <w:top w:type="dxa" w:w="80"/>
              <w:left w:type="dxa" w:w="100"/>
              <w:bottom w:type="dxa" w:w="80"/>
              <w:right w:type="dxa" w:w="100"/>
            </w:tcMar>
          </w:tcPr>
          <w:p>
            <w:r>
              <w:rPr>
                <w:b w:val="false"/>
                <w:bCs w:val="false"/>
                <w:sz w:val="20"/>
                <w:szCs w:val="20"/>
              </w:rPr>
              <w:t xml:space="preserve">Disponibilizar filtro “somente despesas urgentes”, destacando visualmente (tag de criticidade) os itens classificados como urgentes.</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RF23</w:t>
            </w:r>
          </w:p>
        </w:tc>
        <w:tc>
          <w:tcPr>
            <w:tcW w:type="dxa" w:w="7600"/>
            <w:tcMar>
              <w:top w:type="dxa" w:w="80"/>
              <w:left w:type="dxa" w:w="100"/>
              <w:bottom w:type="dxa" w:w="80"/>
              <w:right w:type="dxa" w:w="100"/>
            </w:tcMar>
          </w:tcPr>
          <w:p>
            <w:r>
              <w:rPr>
                <w:b w:val="false"/>
                <w:bCs w:val="false"/>
                <w:sz w:val="20"/>
                <w:szCs w:val="20"/>
              </w:rPr>
              <w:t xml:space="preserve">Exibir o saldo da conta/fonte antes e após a seleção das despesas (“saldo previsto”), permitindo à Alta Gestão avaliar o impacto financeiro antes de confirmar a autorização.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RF24</w:t>
            </w:r>
          </w:p>
        </w:tc>
        <w:tc>
          <w:tcPr>
            <w:tcW w:type="dxa" w:w="7600"/>
            <w:tcMar>
              <w:top w:type="dxa" w:w="80"/>
              <w:left w:type="dxa" w:w="100"/>
              <w:bottom w:type="dxa" w:w="80"/>
              <w:right w:type="dxa" w:w="100"/>
            </w:tcMar>
          </w:tcPr>
          <w:p>
            <w:r>
              <w:rPr>
                <w:b w:val="false"/>
                <w:bCs w:val="false"/>
                <w:sz w:val="20"/>
                <w:szCs w:val="20"/>
              </w:rPr>
              <w:t xml:space="preserve">Permitir seleção múltipla de despesas e autorização em lote, mediante tela de confirmação explícita.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RF25</w:t>
            </w:r>
          </w:p>
        </w:tc>
        <w:tc>
          <w:tcPr>
            <w:tcW w:type="dxa" w:w="7600"/>
            <w:tcMar>
              <w:top w:type="dxa" w:w="80"/>
              <w:left w:type="dxa" w:w="100"/>
              <w:bottom w:type="dxa" w:w="80"/>
              <w:right w:type="dxa" w:w="100"/>
            </w:tcMar>
          </w:tcPr>
          <w:p>
            <w:r>
              <w:rPr>
                <w:b w:val="false"/>
                <w:bCs w:val="false"/>
                <w:sz w:val="20"/>
                <w:szCs w:val="20"/>
              </w:rPr>
              <w:t xml:space="preserve">Impedir a autorização de pagamento que exceda o saldo disponível da conta/fonte vinculada, com alerta bloqueante.</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RF26</w:t>
            </w:r>
          </w:p>
        </w:tc>
        <w:tc>
          <w:tcPr>
            <w:tcW w:type="dxa" w:w="7600"/>
            <w:tcMar>
              <w:top w:type="dxa" w:w="80"/>
              <w:left w:type="dxa" w:w="100"/>
              <w:bottom w:type="dxa" w:w="80"/>
              <w:right w:type="dxa" w:w="100"/>
            </w:tcMar>
          </w:tcPr>
          <w:p>
            <w:r>
              <w:rPr>
                <w:b w:val="false"/>
                <w:bCs w:val="false"/>
                <w:sz w:val="20"/>
                <w:szCs w:val="20"/>
              </w:rPr>
              <w:t xml:space="preserve">Registrar autor, data, hora e origem (IP/dispositivo) de cada autorização, para fins de trilha de auditoria.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RF27</w:t>
            </w:r>
          </w:p>
        </w:tc>
        <w:tc>
          <w:tcPr>
            <w:tcW w:type="dxa" w:w="7600"/>
            <w:tcMar>
              <w:top w:type="dxa" w:w="80"/>
              <w:left w:type="dxa" w:w="100"/>
              <w:bottom w:type="dxa" w:w="80"/>
              <w:right w:type="dxa" w:w="100"/>
            </w:tcMar>
          </w:tcPr>
          <w:p>
            <w:r>
              <w:rPr>
                <w:b w:val="false"/>
                <w:bCs w:val="false"/>
                <w:sz w:val="20"/>
                <w:szCs w:val="20"/>
              </w:rPr>
              <w:t xml:space="preserve">Alterar automaticamente o status do pedido de “Pendente” para “Autorizado” após confirmação, tornando-o disponível para a Tesouraria.</w:t>
            </w:r>
          </w:p>
        </w:tc>
        <w:tc>
          <w:tcPr>
            <w:tcW w:type="dxa" w:w="1500"/>
            <w:tcMar>
              <w:top w:type="dxa" w:w="80"/>
              <w:left w:type="dxa" w:w="100"/>
              <w:bottom w:type="dxa" w:w="80"/>
              <w:right w:type="dxa" w:w="100"/>
            </w:tcMar>
          </w:tcPr>
          <w:p>
            <w:r>
              <w:rPr>
                <w:b w:val="false"/>
                <w:bCs w:val="false"/>
                <w:sz w:val="20"/>
                <w:szCs w:val="20"/>
              </w:rPr>
              <w:t xml:space="preserve">Essencial</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A autorização de pagamento equivale, para fins do art. 64 da Lei nº 4.320/1964, ao despacho da autoridade competente determinando que a despesa seja paga (ordem de pagamento); o Sistema deve gerar documento correspondente a cada autorização em lote.</w:t>
      </w:r>
    </w:p>
    <w:p>
      <w:pPr>
        <w:pStyle w:val="ListParagraph"/>
        <w:numPr>
          <w:ilvl w:val="0"/>
          <w:numId w:val="1"/>
        </w:numPr>
        <w:spacing w:after="80" w:line="276"/>
      </w:pPr>
      <w:r>
        <w:t xml:space="preserve">Despesas classificadas como urgentes devem ser exibidas em posição de destaque em relação às demais, sem prejuízo da possibilidade de o gestor autorizar qualquer despesa independentemente da ordem de exibição.</w:t>
      </w:r>
    </w:p>
    <w:p>
      <w:pPr>
        <w:pStyle w:val="Heading2"/>
        <w:spacing w:after="120" w:before="260"/>
      </w:pPr>
      <w:r>
        <w:t xml:space="preserve">6.5 — M5 — Execução do Pagamento (Tesouraria)</w:t>
      </w:r>
    </w:p>
    <w:p>
      <w:pPr>
        <w:spacing w:after="140" w:line="276"/>
      </w:pPr>
      <w:r>
        <w:rPr>
          <w:sz w:val="21"/>
          <w:szCs w:val="21"/>
        </w:rPr>
        <w:t xml:space="preserve">Módulo utilizado pela Tesouraria para efetivar financeiramente os pagamentos autorizados.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RF28</w:t>
            </w:r>
          </w:p>
        </w:tc>
        <w:tc>
          <w:tcPr>
            <w:tcW w:type="dxa" w:w="7600"/>
            <w:tcMar>
              <w:top w:type="dxa" w:w="80"/>
              <w:left w:type="dxa" w:w="100"/>
              <w:bottom w:type="dxa" w:w="80"/>
              <w:right w:type="dxa" w:w="100"/>
            </w:tcMar>
          </w:tcPr>
          <w:p>
            <w:r>
              <w:rPr>
                <w:b w:val="false"/>
                <w:bCs w:val="false"/>
                <w:sz w:val="20"/>
                <w:szCs w:val="20"/>
              </w:rPr>
              <w:t xml:space="preserve">Listar todos os pedidos com status “Autorizado”, ordenados por criticidade e data de vencimento.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RF29</w:t>
            </w:r>
          </w:p>
        </w:tc>
        <w:tc>
          <w:tcPr>
            <w:tcW w:type="dxa" w:w="7600"/>
            <w:tcMar>
              <w:top w:type="dxa" w:w="80"/>
              <w:left w:type="dxa" w:w="100"/>
              <w:bottom w:type="dxa" w:w="80"/>
              <w:right w:type="dxa" w:w="100"/>
            </w:tcMar>
          </w:tcPr>
          <w:p>
            <w:r>
              <w:rPr>
                <w:b w:val="false"/>
                <w:bCs w:val="false"/>
                <w:sz w:val="20"/>
                <w:szCs w:val="20"/>
              </w:rPr>
              <w:t xml:space="preserve">Permitir o registro da efetivação do pagamento (data, forma de pagamento — TED, PIX, boleto, cheque — e comprovante anexo).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RF30</w:t>
            </w:r>
          </w:p>
        </w:tc>
        <w:tc>
          <w:tcPr>
            <w:tcW w:type="dxa" w:w="7600"/>
            <w:tcMar>
              <w:top w:type="dxa" w:w="80"/>
              <w:left w:type="dxa" w:w="100"/>
              <w:bottom w:type="dxa" w:w="80"/>
              <w:right w:type="dxa" w:w="100"/>
            </w:tcMar>
          </w:tcPr>
          <w:p>
            <w:r>
              <w:rPr>
                <w:b w:val="false"/>
                <w:bCs w:val="false"/>
                <w:sz w:val="20"/>
                <w:szCs w:val="20"/>
              </w:rPr>
              <w:t xml:space="preserve">Debitar automaticamente o valor pago do saldo da conta bancária de origem no momento do registro da baixa manual.</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RF31</w:t>
            </w:r>
          </w:p>
        </w:tc>
        <w:tc>
          <w:tcPr>
            <w:tcW w:type="dxa" w:w="7600"/>
            <w:tcMar>
              <w:top w:type="dxa" w:w="80"/>
              <w:left w:type="dxa" w:w="100"/>
              <w:bottom w:type="dxa" w:w="80"/>
              <w:right w:type="dxa" w:w="100"/>
            </w:tcMar>
          </w:tcPr>
          <w:p>
            <w:r>
              <w:rPr>
                <w:b w:val="false"/>
                <w:bCs w:val="false"/>
                <w:sz w:val="20"/>
                <w:szCs w:val="20"/>
              </w:rPr>
              <w:t xml:space="preserve">Alterar o status do pedido para “Pago”, com registro da data de baixa.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RF32</w:t>
            </w:r>
          </w:p>
        </w:tc>
        <w:tc>
          <w:tcPr>
            <w:tcW w:type="dxa" w:w="7600"/>
            <w:tcMar>
              <w:top w:type="dxa" w:w="80"/>
              <w:left w:type="dxa" w:w="100"/>
              <w:bottom w:type="dxa" w:w="80"/>
              <w:right w:type="dxa" w:w="100"/>
            </w:tcMar>
          </w:tcPr>
          <w:p>
            <w:r>
              <w:rPr>
                <w:b w:val="false"/>
                <w:bCs w:val="false"/>
                <w:sz w:val="20"/>
                <w:szCs w:val="20"/>
              </w:rPr>
              <w:t xml:space="preserve">Permitir estorno/cancelamento de pagamento já baixado, mediante justificativa e alçada específica, preservando o histórico anterior.</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RF33</w:t>
            </w:r>
          </w:p>
        </w:tc>
        <w:tc>
          <w:tcPr>
            <w:tcW w:type="dxa" w:w="7600"/>
            <w:tcMar>
              <w:top w:type="dxa" w:w="80"/>
              <w:left w:type="dxa" w:w="100"/>
              <w:bottom w:type="dxa" w:w="80"/>
              <w:right w:type="dxa" w:w="100"/>
            </w:tcMar>
          </w:tcPr>
          <w:p>
            <w:r>
              <w:rPr>
                <w:b w:val="false"/>
                <w:bCs w:val="false"/>
                <w:sz w:val="20"/>
                <w:szCs w:val="20"/>
              </w:rPr>
              <w:t xml:space="preserve">Emitir a Ordem de Pagamento como documento formal, vinculado ao despacho da autoridade competente (art. 64 da Lei nº 4.320/1964).</w:t>
            </w:r>
          </w:p>
        </w:tc>
        <w:tc>
          <w:tcPr>
            <w:tcW w:type="dxa" w:w="1500"/>
            <w:tcMar>
              <w:top w:type="dxa" w:w="80"/>
              <w:left w:type="dxa" w:w="100"/>
              <w:bottom w:type="dxa" w:w="80"/>
              <w:right w:type="dxa" w:w="100"/>
            </w:tcMar>
          </w:tcPr>
          <w:p>
            <w:r>
              <w:rPr>
                <w:b w:val="false"/>
                <w:bCs w:val="false"/>
                <w:sz w:val="20"/>
                <w:szCs w:val="20"/>
              </w:rPr>
              <w:t xml:space="preserve">Essencial</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Nenhum pagamento pode ser registrado como “Pago” sem que o pedido correspondente esteja no status “Autorizado”.</w:t>
      </w:r>
    </w:p>
    <w:p>
      <w:pPr>
        <w:pStyle w:val="ListParagraph"/>
        <w:numPr>
          <w:ilvl w:val="0"/>
          <w:numId w:val="1"/>
        </w:numPr>
        <w:spacing w:after="80" w:line="276"/>
      </w:pPr>
      <w:r>
        <w:t xml:space="preserve">O pagamento somente pode ser efetivado por Tesouraria ou estabelecimento bancário credenciado, em conformidade com o art. 65 da Lei nº 4.320/1964; o Sistema deve registrar o meio de pagamento utilizado.</w:t>
      </w:r>
    </w:p>
    <w:p>
      <w:pPr>
        <w:pStyle w:val="Heading2"/>
        <w:spacing w:after="120" w:before="260"/>
      </w:pPr>
      <w:r>
        <w:t xml:space="preserve">6.6 — M6 — Contas Bancárias e Saldos</w:t>
      </w:r>
    </w:p>
    <w:p>
      <w:pPr>
        <w:spacing w:after="140" w:line="276"/>
      </w:pPr>
      <w:r>
        <w:rPr>
          <w:sz w:val="21"/>
          <w:szCs w:val="21"/>
        </w:rPr>
        <w:t xml:space="preserve">Módulo de controle das disponibilidades financeiras por conta e por fonte de recursos.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RF34</w:t>
            </w:r>
          </w:p>
        </w:tc>
        <w:tc>
          <w:tcPr>
            <w:tcW w:type="dxa" w:w="7600"/>
            <w:tcMar>
              <w:top w:type="dxa" w:w="80"/>
              <w:left w:type="dxa" w:w="100"/>
              <w:bottom w:type="dxa" w:w="80"/>
              <w:right w:type="dxa" w:w="100"/>
            </w:tcMar>
          </w:tcPr>
          <w:p>
            <w:r>
              <w:rPr>
                <w:b w:val="false"/>
                <w:bCs w:val="false"/>
                <w:sz w:val="20"/>
                <w:szCs w:val="20"/>
              </w:rPr>
              <w:t xml:space="preserve">Registrar saldo inicial e movimentações (créditos e débitos) de cada conta bancária.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RF35</w:t>
            </w:r>
          </w:p>
        </w:tc>
        <w:tc>
          <w:tcPr>
            <w:tcW w:type="dxa" w:w="7600"/>
            <w:tcMar>
              <w:top w:type="dxa" w:w="80"/>
              <w:left w:type="dxa" w:w="100"/>
              <w:bottom w:type="dxa" w:w="80"/>
              <w:right w:type="dxa" w:w="100"/>
            </w:tcMar>
          </w:tcPr>
          <w:p>
            <w:r>
              <w:rPr>
                <w:b w:val="false"/>
                <w:bCs w:val="false"/>
                <w:sz w:val="20"/>
                <w:szCs w:val="20"/>
              </w:rPr>
              <w:t xml:space="preserve">Exibir saldo atualizado em tempo real, distinguindo “saldo comprometido” (pagamentos autorizados ainda não liquidados) de “saldo disponível efetivo”.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RF36</w:t>
            </w:r>
          </w:p>
        </w:tc>
        <w:tc>
          <w:tcPr>
            <w:tcW w:type="dxa" w:w="7600"/>
            <w:tcMar>
              <w:top w:type="dxa" w:w="80"/>
              <w:left w:type="dxa" w:w="100"/>
              <w:bottom w:type="dxa" w:w="80"/>
              <w:right w:type="dxa" w:w="100"/>
            </w:tcMar>
          </w:tcPr>
          <w:p>
            <w:r>
              <w:rPr>
                <w:b w:val="false"/>
                <w:bCs w:val="false"/>
                <w:sz w:val="20"/>
                <w:szCs w:val="20"/>
              </w:rPr>
              <w:t xml:space="preserve">Permitir lançamento manual de saldo pela Tesouraria em situações de contingência, com registro obrigatório de responsável e justificativa.</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RF37</w:t>
            </w:r>
          </w:p>
        </w:tc>
        <w:tc>
          <w:tcPr>
            <w:tcW w:type="dxa" w:w="7600"/>
            <w:tcMar>
              <w:top w:type="dxa" w:w="80"/>
              <w:left w:type="dxa" w:w="100"/>
              <w:bottom w:type="dxa" w:w="80"/>
              <w:right w:type="dxa" w:w="100"/>
            </w:tcMar>
          </w:tcPr>
          <w:p>
            <w:r>
              <w:rPr>
                <w:b w:val="false"/>
                <w:bCs w:val="false"/>
                <w:sz w:val="20"/>
                <w:szCs w:val="20"/>
              </w:rPr>
              <w:t xml:space="preserve">Emitir alerta configurável quando o saldo de determinada conta/fonte ficar abaixo de limite mínimo parametrizado.</w:t>
            </w:r>
          </w:p>
        </w:tc>
        <w:tc>
          <w:tcPr>
            <w:tcW w:type="dxa" w:w="1500"/>
            <w:tcMar>
              <w:top w:type="dxa" w:w="80"/>
              <w:left w:type="dxa" w:w="100"/>
              <w:bottom w:type="dxa" w:w="80"/>
              <w:right w:type="dxa" w:w="100"/>
            </w:tcMar>
          </w:tcPr>
          <w:p>
            <w:r>
              <w:rPr>
                <w:b w:val="false"/>
                <w:bCs w:val="false"/>
                <w:sz w:val="20"/>
                <w:szCs w:val="20"/>
              </w:rPr>
              <w:t xml:space="preserve">Importante</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A atualização diária do saldo das contas, hoje realizada manualmente pela Tesouraria, deve ser substituída, sempre que possível, pela conciliação automatizada descrita no módulo M7, mantendo-se o lançamento manual apenas como contingência.</w:t>
      </w:r>
    </w:p>
    <w:p>
      <w:pPr>
        <w:pStyle w:val="Heading2"/>
        <w:spacing w:after="120" w:before="260"/>
      </w:pPr>
      <w:r>
        <w:t xml:space="preserve">6.7 — M7 — Conciliação Bancária Automatizada</w:t>
      </w:r>
    </w:p>
    <w:p>
      <w:pPr>
        <w:spacing w:after="140" w:line="276"/>
      </w:pPr>
      <w:r>
        <w:rPr>
          <w:sz w:val="21"/>
          <w:szCs w:val="21"/>
        </w:rPr>
        <w:t xml:space="preserve">Módulo responsável por eliminar a necessidade de alimentação manual diária dos saldos, mediante leitura automatizada dos extratos bancários e baixa automática dos pagamentos identificados.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RF38</w:t>
            </w:r>
          </w:p>
        </w:tc>
        <w:tc>
          <w:tcPr>
            <w:tcW w:type="dxa" w:w="7600"/>
            <w:tcMar>
              <w:top w:type="dxa" w:w="80"/>
              <w:left w:type="dxa" w:w="100"/>
              <w:bottom w:type="dxa" w:w="80"/>
              <w:right w:type="dxa" w:w="100"/>
            </w:tcMar>
          </w:tcPr>
          <w:p>
            <w:r>
              <w:rPr>
                <w:b w:val="false"/>
                <w:bCs w:val="false"/>
                <w:sz w:val="20"/>
                <w:szCs w:val="20"/>
              </w:rPr>
              <w:t xml:space="preserve">Permitir o upload do extrato bancário em PDF ou, quando disponível, a integração direta via API bancária (Open Finance).</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RF39</w:t>
            </w:r>
          </w:p>
        </w:tc>
        <w:tc>
          <w:tcPr>
            <w:tcW w:type="dxa" w:w="7600"/>
            <w:tcMar>
              <w:top w:type="dxa" w:w="80"/>
              <w:left w:type="dxa" w:w="100"/>
              <w:bottom w:type="dxa" w:w="80"/>
              <w:right w:type="dxa" w:w="100"/>
            </w:tcMar>
          </w:tcPr>
          <w:p>
            <w:r>
              <w:rPr>
                <w:b w:val="false"/>
                <w:bCs w:val="false"/>
                <w:sz w:val="20"/>
                <w:szCs w:val="20"/>
              </w:rPr>
              <w:t xml:space="preserve">Extrair automaticamente, por meio de reconhecimento de texto/OCR e interpretação estruturada, os lançamentos do extrato: data, histórico, valor, tipo (crédito/débito) e identificador da transação.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RF40</w:t>
            </w:r>
          </w:p>
        </w:tc>
        <w:tc>
          <w:tcPr>
            <w:tcW w:type="dxa" w:w="7600"/>
            <w:tcMar>
              <w:top w:type="dxa" w:w="80"/>
              <w:left w:type="dxa" w:w="100"/>
              <w:bottom w:type="dxa" w:w="80"/>
              <w:right w:type="dxa" w:w="100"/>
            </w:tcMar>
          </w:tcPr>
          <w:p>
            <w:r>
              <w:rPr>
                <w:b w:val="false"/>
                <w:bCs w:val="false"/>
                <w:sz w:val="20"/>
                <w:szCs w:val="20"/>
              </w:rPr>
              <w:t xml:space="preserve">Comparar (matching automático) os débitos identificados no extrato com os pedidos no status “Autorizado”, utilizando como critérios valor, data, favorecido/credor e identificador da transação.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RF41</w:t>
            </w:r>
          </w:p>
        </w:tc>
        <w:tc>
          <w:tcPr>
            <w:tcW w:type="dxa" w:w="7600"/>
            <w:tcMar>
              <w:top w:type="dxa" w:w="80"/>
              <w:left w:type="dxa" w:w="100"/>
              <w:bottom w:type="dxa" w:w="80"/>
              <w:right w:type="dxa" w:w="100"/>
            </w:tcMar>
          </w:tcPr>
          <w:p>
            <w:r>
              <w:rPr>
                <w:b w:val="false"/>
                <w:bCs w:val="false"/>
                <w:sz w:val="20"/>
                <w:szCs w:val="20"/>
              </w:rPr>
              <w:t xml:space="preserve">Realizar baixa automática dos pedidos com correspondência exata, atualizando o status para “Pago” e debitando o saldo da conta correspondente.</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RF42</w:t>
            </w:r>
          </w:p>
        </w:tc>
        <w:tc>
          <w:tcPr>
            <w:tcW w:type="dxa" w:w="7600"/>
            <w:tcMar>
              <w:top w:type="dxa" w:w="80"/>
              <w:left w:type="dxa" w:w="100"/>
              <w:bottom w:type="dxa" w:w="80"/>
              <w:right w:type="dxa" w:w="100"/>
            </w:tcMar>
          </w:tcPr>
          <w:p>
            <w:r>
              <w:rPr>
                <w:b w:val="false"/>
                <w:bCs w:val="false"/>
                <w:sz w:val="20"/>
                <w:szCs w:val="20"/>
              </w:rPr>
              <w:t xml:space="preserve">Listar, em painel específico, os lançamentos do extrato sem correspondência automática (“pendências de conciliação”), para tratamento manual pela Tesouraria.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RF43</w:t>
            </w:r>
          </w:p>
        </w:tc>
        <w:tc>
          <w:tcPr>
            <w:tcW w:type="dxa" w:w="7600"/>
            <w:tcMar>
              <w:top w:type="dxa" w:w="80"/>
              <w:left w:type="dxa" w:w="100"/>
              <w:bottom w:type="dxa" w:w="80"/>
              <w:right w:type="dxa" w:w="100"/>
            </w:tcMar>
          </w:tcPr>
          <w:p>
            <w:r>
              <w:rPr>
                <w:b w:val="false"/>
                <w:bCs w:val="false"/>
                <w:sz w:val="20"/>
                <w:szCs w:val="20"/>
              </w:rPr>
              <w:t xml:space="preserve">Permitir à Tesouraria vincular manualmente um lançamento do extrato a um pedido de pagamento em caso de divergência (ex.: valor pago em duas parcelas, diferença de centavos).</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RF44</w:t>
            </w:r>
          </w:p>
        </w:tc>
        <w:tc>
          <w:tcPr>
            <w:tcW w:type="dxa" w:w="7600"/>
            <w:tcMar>
              <w:top w:type="dxa" w:w="80"/>
              <w:left w:type="dxa" w:w="100"/>
              <w:bottom w:type="dxa" w:w="80"/>
              <w:right w:type="dxa" w:w="100"/>
            </w:tcMar>
          </w:tcPr>
          <w:p>
            <w:r>
              <w:rPr>
                <w:b w:val="false"/>
                <w:bCs w:val="false"/>
                <w:sz w:val="20"/>
                <w:szCs w:val="20"/>
              </w:rPr>
              <w:t xml:space="preserve">Manter histórico completo de todas as conciliações realizadas, automáticas e manuais, com data, responsável e lançamento de origem.</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RF45</w:t>
            </w:r>
          </w:p>
        </w:tc>
        <w:tc>
          <w:tcPr>
            <w:tcW w:type="dxa" w:w="7600"/>
            <w:tcMar>
              <w:top w:type="dxa" w:w="80"/>
              <w:left w:type="dxa" w:w="100"/>
              <w:bottom w:type="dxa" w:w="80"/>
              <w:right w:type="dxa" w:w="100"/>
            </w:tcMar>
          </w:tcPr>
          <w:p>
            <w:r>
              <w:rPr>
                <w:b w:val="false"/>
                <w:bCs w:val="false"/>
                <w:sz w:val="20"/>
                <w:szCs w:val="20"/>
              </w:rPr>
              <w:t xml:space="preserve">Emitir relatório diário de conciliação bancária (lançamentos conciliados versus pendentes), em atendimento às orientações do MCASP quanto à conciliação periódica das disponibilidades.</w:t>
            </w:r>
          </w:p>
        </w:tc>
        <w:tc>
          <w:tcPr>
            <w:tcW w:type="dxa" w:w="1500"/>
            <w:tcMar>
              <w:top w:type="dxa" w:w="80"/>
              <w:left w:type="dxa" w:w="100"/>
              <w:bottom w:type="dxa" w:w="80"/>
              <w:right w:type="dxa" w:w="100"/>
            </w:tcMar>
          </w:tcPr>
          <w:p>
            <w:r>
              <w:rPr>
                <w:b w:val="false"/>
                <w:bCs w:val="false"/>
                <w:sz w:val="20"/>
                <w:szCs w:val="20"/>
              </w:rPr>
              <w:t xml:space="preserve">Importante</w:t>
            </w:r>
          </w:p>
        </w:tc>
      </w:tr>
    </w:tbl>
    <w:p>
      <w:pPr>
        <w:spacing w:after="80" w:before="160"/>
      </w:pPr>
      <w:r>
        <w:rPr>
          <w:b/>
          <w:bCs/>
          <w:sz w:val="21"/>
          <w:szCs w:val="21"/>
        </w:rPr>
        <w:t xml:space="preserve">Regras de negócio associadas</w:t>
      </w:r>
    </w:p>
    <w:p>
      <w:pPr>
        <w:pStyle w:val="ListParagraph"/>
        <w:numPr>
          <w:ilvl w:val="0"/>
          <w:numId w:val="1"/>
        </w:numPr>
        <w:spacing w:after="80" w:line="276"/>
      </w:pPr>
      <w:r>
        <w:t xml:space="preserve">A baixa automática somente ocorre quando houver correspondência exata (valor, credor e janela de data compatível); qualquer divergência deve ser direcionada obrigatoriamente à conciliação manual, vedada a baixa automática por aproximação de valores.</w:t>
      </w:r>
    </w:p>
    <w:p>
      <w:pPr>
        <w:pStyle w:val="ListParagraph"/>
        <w:numPr>
          <w:ilvl w:val="0"/>
          <w:numId w:val="1"/>
        </w:numPr>
        <w:spacing w:after="80" w:line="276"/>
      </w:pPr>
      <w:r>
        <w:t xml:space="preserve">O extrato bancário processado deve ser mantido arquivado e vinculado ao respectivo período de conciliação, para fins de auditoria futura.</w:t>
      </w:r>
    </w:p>
    <w:p>
      <w:pPr>
        <w:pStyle w:val="Heading2"/>
        <w:spacing w:after="120" w:before="260"/>
      </w:pPr>
      <w:r>
        <w:t xml:space="preserve">6.8 — M8 — Extratos Bancários (repositório e consulta)</w:t>
      </w:r>
    </w:p>
    <w:p>
      <w:pPr>
        <w:spacing w:after="140" w:line="276"/>
      </w:pPr>
      <w:r>
        <w:rPr>
          <w:sz w:val="21"/>
          <w:szCs w:val="21"/>
        </w:rPr>
        <w:t xml:space="preserve">Módulo de armazenamento e consulta histórica dos extratos processados.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RF46</w:t>
            </w:r>
          </w:p>
        </w:tc>
        <w:tc>
          <w:tcPr>
            <w:tcW w:type="dxa" w:w="7600"/>
            <w:tcMar>
              <w:top w:type="dxa" w:w="80"/>
              <w:left w:type="dxa" w:w="100"/>
              <w:bottom w:type="dxa" w:w="80"/>
              <w:right w:type="dxa" w:w="100"/>
            </w:tcMar>
          </w:tcPr>
          <w:p>
            <w:r>
              <w:rPr>
                <w:b w:val="false"/>
                <w:bCs w:val="false"/>
                <w:sz w:val="20"/>
                <w:szCs w:val="20"/>
              </w:rPr>
              <w:t xml:space="preserve">Armazenar os extratos bancários enviados/importados, organizados por conta e por período.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RF47</w:t>
            </w:r>
          </w:p>
        </w:tc>
        <w:tc>
          <w:tcPr>
            <w:tcW w:type="dxa" w:w="7600"/>
            <w:tcMar>
              <w:top w:type="dxa" w:w="80"/>
              <w:left w:type="dxa" w:w="100"/>
              <w:bottom w:type="dxa" w:w="80"/>
              <w:right w:type="dxa" w:w="100"/>
            </w:tcMar>
          </w:tcPr>
          <w:p>
            <w:r>
              <w:rPr>
                <w:b w:val="false"/>
                <w:bCs w:val="false"/>
                <w:sz w:val="20"/>
                <w:szCs w:val="20"/>
              </w:rPr>
              <w:t xml:space="preserve">Permitir consulta e exportação dos extratos por período e por conta bancária.</w:t>
            </w:r>
          </w:p>
        </w:tc>
        <w:tc>
          <w:tcPr>
            <w:tcW w:type="dxa" w:w="1500"/>
            <w:tcMar>
              <w:top w:type="dxa" w:w="80"/>
              <w:left w:type="dxa" w:w="100"/>
              <w:bottom w:type="dxa" w:w="80"/>
              <w:right w:type="dxa" w:w="100"/>
            </w:tcMar>
          </w:tcPr>
          <w:p>
            <w:r>
              <w:rPr>
                <w:b w:val="false"/>
                <w:bCs w:val="false"/>
                <w:sz w:val="20"/>
                <w:szCs w:val="20"/>
              </w:rPr>
              <w:t xml:space="preserve">Importante</w:t>
            </w:r>
          </w:p>
        </w:tc>
      </w:tr>
    </w:tbl>
    <w:p>
      <w:pPr>
        <w:pStyle w:val="Heading2"/>
        <w:spacing w:after="120" w:before="260"/>
      </w:pPr>
      <w:r>
        <w:t xml:space="preserve">6.9 — M9 — Gestão de Despesas, Status e Criticidade</w:t>
      </w:r>
    </w:p>
    <w:p>
      <w:pPr>
        <w:spacing w:after="140" w:line="276"/>
      </w:pPr>
      <w:r>
        <w:rPr>
          <w:sz w:val="21"/>
          <w:szCs w:val="21"/>
        </w:rPr>
        <w:t xml:space="preserve">Módulo transversal de classificação e consulta das despesas em qualquer etapa do fluxo.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RF48</w:t>
            </w:r>
          </w:p>
        </w:tc>
        <w:tc>
          <w:tcPr>
            <w:tcW w:type="dxa" w:w="7600"/>
            <w:tcMar>
              <w:top w:type="dxa" w:w="80"/>
              <w:left w:type="dxa" w:w="100"/>
              <w:bottom w:type="dxa" w:w="80"/>
              <w:right w:type="dxa" w:w="100"/>
            </w:tcMar>
          </w:tcPr>
          <w:p>
            <w:r>
              <w:rPr>
                <w:b w:val="false"/>
                <w:bCs w:val="false"/>
                <w:sz w:val="20"/>
                <w:szCs w:val="20"/>
              </w:rPr>
              <w:t xml:space="preserve">Classificar despesas por criticidade (Urgente, Alta, Média, Baixa), conforme parametrização por natureza e/ou marcação manual justificada.</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RF49</w:t>
            </w:r>
          </w:p>
        </w:tc>
        <w:tc>
          <w:tcPr>
            <w:tcW w:type="dxa" w:w="7600"/>
            <w:tcMar>
              <w:top w:type="dxa" w:w="80"/>
              <w:left w:type="dxa" w:w="100"/>
              <w:bottom w:type="dxa" w:w="80"/>
              <w:right w:type="dxa" w:w="100"/>
            </w:tcMar>
          </w:tcPr>
          <w:p>
            <w:r>
              <w:rPr>
                <w:b w:val="false"/>
                <w:bCs w:val="false"/>
                <w:sz w:val="20"/>
                <w:szCs w:val="20"/>
              </w:rPr>
              <w:t xml:space="preserve">Classificar despesas por status: Pendente, Aprovado pelo Secretário, Autorizado, Pago, Devolvido, Rejeitado, Cancelado.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RF50</w:t>
            </w:r>
          </w:p>
        </w:tc>
        <w:tc>
          <w:tcPr>
            <w:tcW w:type="dxa" w:w="7600"/>
            <w:tcMar>
              <w:top w:type="dxa" w:w="80"/>
              <w:left w:type="dxa" w:w="100"/>
              <w:bottom w:type="dxa" w:w="80"/>
              <w:right w:type="dxa" w:w="100"/>
            </w:tcMar>
          </w:tcPr>
          <w:p>
            <w:r>
              <w:rPr>
                <w:b w:val="false"/>
                <w:bCs w:val="false"/>
                <w:sz w:val="20"/>
                <w:szCs w:val="20"/>
              </w:rPr>
              <w:t xml:space="preserve">Permitir consulta de despesas por vencimento, competência, órgão, natureza e credor.</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RF51</w:t>
            </w:r>
          </w:p>
        </w:tc>
        <w:tc>
          <w:tcPr>
            <w:tcW w:type="dxa" w:w="7600"/>
            <w:tcMar>
              <w:top w:type="dxa" w:w="80"/>
              <w:left w:type="dxa" w:w="100"/>
              <w:bottom w:type="dxa" w:w="80"/>
              <w:right w:type="dxa" w:w="100"/>
            </w:tcMar>
          </w:tcPr>
          <w:p>
            <w:r>
              <w:rPr>
                <w:b w:val="false"/>
                <w:bCs w:val="false"/>
                <w:sz w:val="20"/>
                <w:szCs w:val="20"/>
              </w:rPr>
              <w:t xml:space="preserve">Emitir alerta automático para despesas próximas ao vencimento ou já vencidas e ainda não autorizadas/pagas.</w:t>
            </w:r>
          </w:p>
        </w:tc>
        <w:tc>
          <w:tcPr>
            <w:tcW w:type="dxa" w:w="1500"/>
            <w:tcMar>
              <w:top w:type="dxa" w:w="80"/>
              <w:left w:type="dxa" w:w="100"/>
              <w:bottom w:type="dxa" w:w="80"/>
              <w:right w:type="dxa" w:w="100"/>
            </w:tcMar>
          </w:tcPr>
          <w:p>
            <w:r>
              <w:rPr>
                <w:b w:val="false"/>
                <w:bCs w:val="false"/>
                <w:sz w:val="20"/>
                <w:szCs w:val="20"/>
              </w:rPr>
              <w:t xml:space="preserve">Importante</w:t>
            </w:r>
          </w:p>
        </w:tc>
      </w:tr>
    </w:tbl>
    <w:p>
      <w:pPr>
        <w:pStyle w:val="Heading2"/>
        <w:spacing w:after="120" w:before="260"/>
      </w:pPr>
      <w:r>
        <w:t xml:space="preserve">6.10 — M10 — Painéis Gerenciais e Relatórios</w:t>
      </w:r>
    </w:p>
    <w:p>
      <w:pPr>
        <w:spacing w:after="140" w:line="276"/>
      </w:pPr>
      <w:r>
        <w:rPr>
          <w:sz w:val="21"/>
          <w:szCs w:val="21"/>
        </w:rPr>
        <w:t xml:space="preserve">Módulo de indicadores gerenciais e emissão de relatórios de apoio à decisão e ao controle.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RF52</w:t>
            </w:r>
          </w:p>
        </w:tc>
        <w:tc>
          <w:tcPr>
            <w:tcW w:type="dxa" w:w="7600"/>
            <w:tcMar>
              <w:top w:type="dxa" w:w="80"/>
              <w:left w:type="dxa" w:w="100"/>
              <w:bottom w:type="dxa" w:w="80"/>
              <w:right w:type="dxa" w:w="100"/>
            </w:tcMar>
          </w:tcPr>
          <w:p>
            <w:r>
              <w:rPr>
                <w:b w:val="false"/>
                <w:bCs w:val="false"/>
                <w:sz w:val="20"/>
                <w:szCs w:val="20"/>
              </w:rPr>
              <w:t xml:space="preserve">Disponibilizar painel com indicadores de despesas pendentes por órgão, por natureza e por criticidade, e saldo consolidado das contas.</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RF53</w:t>
            </w:r>
          </w:p>
        </w:tc>
        <w:tc>
          <w:tcPr>
            <w:tcW w:type="dxa" w:w="7600"/>
            <w:tcMar>
              <w:top w:type="dxa" w:w="80"/>
              <w:left w:type="dxa" w:w="100"/>
              <w:bottom w:type="dxa" w:w="80"/>
              <w:right w:type="dxa" w:w="100"/>
            </w:tcMar>
          </w:tcPr>
          <w:p>
            <w:r>
              <w:rPr>
                <w:b w:val="false"/>
                <w:bCs w:val="false"/>
                <w:sz w:val="20"/>
                <w:szCs w:val="20"/>
              </w:rPr>
              <w:t xml:space="preserve">Permitir exportação de relatórios em PDF, Excel e CSV.</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RF54</w:t>
            </w:r>
          </w:p>
        </w:tc>
        <w:tc>
          <w:tcPr>
            <w:tcW w:type="dxa" w:w="7600"/>
            <w:tcMar>
              <w:top w:type="dxa" w:w="80"/>
              <w:left w:type="dxa" w:w="100"/>
              <w:bottom w:type="dxa" w:w="80"/>
              <w:right w:type="dxa" w:w="100"/>
            </w:tcMar>
          </w:tcPr>
          <w:p>
            <w:r>
              <w:rPr>
                <w:b w:val="false"/>
                <w:bCs w:val="false"/>
                <w:sz w:val="20"/>
                <w:szCs w:val="20"/>
              </w:rPr>
              <w:t xml:space="preserve">Disponibilizar relatório de Restos a Pagar processados e não processados, em conformidade com os arts. 100 a 104 da Lei nº 4.320/1964.</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RF55</w:t>
            </w:r>
          </w:p>
        </w:tc>
        <w:tc>
          <w:tcPr>
            <w:tcW w:type="dxa" w:w="7600"/>
            <w:tcMar>
              <w:top w:type="dxa" w:w="80"/>
              <w:left w:type="dxa" w:w="100"/>
              <w:bottom w:type="dxa" w:w="80"/>
              <w:right w:type="dxa" w:w="100"/>
            </w:tcMar>
          </w:tcPr>
          <w:p>
            <w:r>
              <w:rPr>
                <w:b w:val="false"/>
                <w:bCs w:val="false"/>
                <w:sz w:val="20"/>
                <w:szCs w:val="20"/>
              </w:rPr>
              <w:t xml:space="preserve">Disponibilizar dados consolidados de disponibilidade de caixa e restos a pagar compatíveis com o conteúdo exigido no Relatório de Gestão Fiscal (arts. 54 e 55 da LC nº 101/2000), no que se refere às informações sob gestão do Sistema.</w:t>
            </w:r>
          </w:p>
        </w:tc>
        <w:tc>
          <w:tcPr>
            <w:tcW w:type="dxa" w:w="1500"/>
            <w:tcMar>
              <w:top w:type="dxa" w:w="80"/>
              <w:left w:type="dxa" w:w="100"/>
              <w:bottom w:type="dxa" w:w="80"/>
              <w:right w:type="dxa" w:w="100"/>
            </w:tcMar>
          </w:tcPr>
          <w:p>
            <w:r>
              <w:rPr>
                <w:b w:val="false"/>
                <w:bCs w:val="false"/>
                <w:sz w:val="20"/>
                <w:szCs w:val="20"/>
              </w:rPr>
              <w:t xml:space="preserve">Importante</w:t>
            </w:r>
          </w:p>
        </w:tc>
      </w:tr>
    </w:tbl>
    <w:p>
      <w:pPr>
        <w:pStyle w:val="Heading2"/>
        <w:spacing w:after="120" w:before="260"/>
      </w:pPr>
      <w:r>
        <w:t xml:space="preserve">6.11 — M11 — Transparência Ativa (Portal)</w:t>
      </w:r>
    </w:p>
    <w:p>
      <w:pPr>
        <w:spacing w:after="140" w:line="276"/>
      </w:pPr>
      <w:r>
        <w:rPr>
          <w:sz w:val="21"/>
          <w:szCs w:val="21"/>
        </w:rPr>
        <w:t xml:space="preserve">Módulo de publicação automática de dados de execução financeira, em atendimento aos deveres de transparência fiscal.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RF56</w:t>
            </w:r>
          </w:p>
        </w:tc>
        <w:tc>
          <w:tcPr>
            <w:tcW w:type="dxa" w:w="7600"/>
            <w:tcMar>
              <w:top w:type="dxa" w:w="80"/>
              <w:left w:type="dxa" w:w="100"/>
              <w:bottom w:type="dxa" w:w="80"/>
              <w:right w:type="dxa" w:w="100"/>
            </w:tcMar>
          </w:tcPr>
          <w:p>
            <w:r>
              <w:rPr>
                <w:b w:val="false"/>
                <w:bCs w:val="false"/>
                <w:sz w:val="20"/>
                <w:szCs w:val="20"/>
              </w:rPr>
              <w:t xml:space="preserve">Publicar automaticamente, em ambiente de acesso público, os dados pormenorizados dos pagamentos autorizados/efetuados (credor, valor, natureza, data, órgão), em atendimento ao art. 48-A da LC nº 101/2000 e à Lei nº 12.527/2011.</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RF57</w:t>
            </w:r>
          </w:p>
        </w:tc>
        <w:tc>
          <w:tcPr>
            <w:tcW w:type="dxa" w:w="7600"/>
            <w:tcMar>
              <w:top w:type="dxa" w:w="80"/>
              <w:left w:type="dxa" w:w="100"/>
              <w:bottom w:type="dxa" w:w="80"/>
              <w:right w:type="dxa" w:w="100"/>
            </w:tcMar>
          </w:tcPr>
          <w:p>
            <w:r>
              <w:rPr>
                <w:b w:val="false"/>
                <w:bCs w:val="false"/>
                <w:sz w:val="20"/>
                <w:szCs w:val="20"/>
              </w:rPr>
              <w:t xml:space="preserve">Disponibilizar os dados publicados em formato aberto (CSV/JSON) e pesquisável.</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RF58</w:t>
            </w:r>
          </w:p>
        </w:tc>
        <w:tc>
          <w:tcPr>
            <w:tcW w:type="dxa" w:w="7600"/>
            <w:tcMar>
              <w:top w:type="dxa" w:w="80"/>
              <w:left w:type="dxa" w:w="100"/>
              <w:bottom w:type="dxa" w:w="80"/>
              <w:right w:type="dxa" w:w="100"/>
            </w:tcMar>
          </w:tcPr>
          <w:p>
            <w:r>
              <w:rPr>
                <w:b w:val="false"/>
                <w:bCs w:val="false"/>
                <w:sz w:val="20"/>
                <w:szCs w:val="20"/>
              </w:rPr>
              <w:t xml:space="preserve">Aplicar tratamento/anonimização adequada aos dados pessoais de fornecedores pessoa física expostos publicamente, em conformidade com a LGPD.</w:t>
            </w:r>
          </w:p>
        </w:tc>
        <w:tc>
          <w:tcPr>
            <w:tcW w:type="dxa" w:w="1500"/>
            <w:tcMar>
              <w:top w:type="dxa" w:w="80"/>
              <w:left w:type="dxa" w:w="100"/>
              <w:bottom w:type="dxa" w:w="80"/>
              <w:right w:type="dxa" w:w="100"/>
            </w:tcMar>
          </w:tcPr>
          <w:p>
            <w:r>
              <w:rPr>
                <w:b w:val="false"/>
                <w:bCs w:val="false"/>
                <w:sz w:val="20"/>
                <w:szCs w:val="20"/>
              </w:rPr>
              <w:t xml:space="preserve">Essencial</w:t>
            </w:r>
          </w:p>
        </w:tc>
      </w:tr>
    </w:tbl>
    <w:p>
      <w:pPr>
        <w:pStyle w:val="Heading2"/>
        <w:spacing w:after="120" w:before="260"/>
      </w:pPr>
      <w:r>
        <w:t xml:space="preserve">6.12 — M12 — Auditoria e Trilha</w:t>
      </w:r>
    </w:p>
    <w:p>
      <w:pPr>
        <w:spacing w:after="140" w:line="276"/>
      </w:pPr>
      <w:r>
        <w:rPr>
          <w:sz w:val="21"/>
          <w:szCs w:val="21"/>
        </w:rPr>
        <w:t xml:space="preserve">Módulo transversal de registro imutável de todas as ações realizadas no Sistema.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RF59</w:t>
            </w:r>
          </w:p>
        </w:tc>
        <w:tc>
          <w:tcPr>
            <w:tcW w:type="dxa" w:w="7600"/>
            <w:tcMar>
              <w:top w:type="dxa" w:w="80"/>
              <w:left w:type="dxa" w:w="100"/>
              <w:bottom w:type="dxa" w:w="80"/>
              <w:right w:type="dxa" w:w="100"/>
            </w:tcMar>
          </w:tcPr>
          <w:p>
            <w:r>
              <w:rPr>
                <w:b w:val="false"/>
                <w:bCs w:val="false"/>
                <w:sz w:val="20"/>
                <w:szCs w:val="20"/>
              </w:rPr>
              <w:t xml:space="preserve">Registrar log de todas as ações (inclusão, edição, exclusão, aprovação, devolução, rejeição, autorização, baixa), com usuário, data/hora e valores antes/depois da alteração.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RF60</w:t>
            </w:r>
          </w:p>
        </w:tc>
        <w:tc>
          <w:tcPr>
            <w:tcW w:type="dxa" w:w="7600"/>
            <w:tcMar>
              <w:top w:type="dxa" w:w="80"/>
              <w:left w:type="dxa" w:w="100"/>
              <w:bottom w:type="dxa" w:w="80"/>
              <w:right w:type="dxa" w:w="100"/>
            </w:tcMar>
          </w:tcPr>
          <w:p>
            <w:r>
              <w:rPr>
                <w:b w:val="false"/>
                <w:bCs w:val="false"/>
                <w:sz w:val="20"/>
                <w:szCs w:val="20"/>
              </w:rPr>
              <w:t xml:space="preserve">Disponibilizar consulta de trilha de auditoria ao Controle Interno, com filtros por usuário, período e tipo de ação.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RF61</w:t>
            </w:r>
          </w:p>
        </w:tc>
        <w:tc>
          <w:tcPr>
            <w:tcW w:type="dxa" w:w="7600"/>
            <w:tcMar>
              <w:top w:type="dxa" w:w="80"/>
              <w:left w:type="dxa" w:w="100"/>
              <w:bottom w:type="dxa" w:w="80"/>
              <w:right w:type="dxa" w:w="100"/>
            </w:tcMar>
          </w:tcPr>
          <w:p>
            <w:r>
              <w:rPr>
                <w:b w:val="false"/>
                <w:bCs w:val="false"/>
                <w:sz w:val="20"/>
                <w:szCs w:val="20"/>
              </w:rPr>
              <w:t xml:space="preserve">Garantir a imutabilidade dos registros de auditoria, vedada qualquer exclusão ou alteração posterior.</w:t>
            </w:r>
          </w:p>
        </w:tc>
        <w:tc>
          <w:tcPr>
            <w:tcW w:type="dxa" w:w="1500"/>
            <w:tcMar>
              <w:top w:type="dxa" w:w="80"/>
              <w:left w:type="dxa" w:w="100"/>
              <w:bottom w:type="dxa" w:w="80"/>
              <w:right w:type="dxa" w:w="100"/>
            </w:tcMar>
          </w:tcPr>
          <w:p>
            <w:r>
              <w:rPr>
                <w:b w:val="false"/>
                <w:bCs w:val="false"/>
                <w:sz w:val="20"/>
                <w:szCs w:val="20"/>
              </w:rPr>
              <w:t xml:space="preserve">Essencial</w:t>
            </w:r>
          </w:p>
        </w:tc>
      </w:tr>
    </w:tbl>
    <w:p>
      <w:pPr>
        <w:pStyle w:val="Heading2"/>
        <w:spacing w:after="120" w:before="260"/>
      </w:pPr>
      <w:r>
        <w:t xml:space="preserve">6.13 — M13 — Segurança e Controle de Acesso</w:t>
      </w:r>
    </w:p>
    <w:p>
      <w:pPr>
        <w:spacing w:after="140" w:line="276"/>
      </w:pPr>
      <w:r>
        <w:rPr>
          <w:sz w:val="21"/>
          <w:szCs w:val="21"/>
        </w:rPr>
        <w:t xml:space="preserve">Módulo de autenticação, autorização e proteção dos dados do Sistema.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RF62</w:t>
            </w:r>
          </w:p>
        </w:tc>
        <w:tc>
          <w:tcPr>
            <w:tcW w:type="dxa" w:w="7600"/>
            <w:tcMar>
              <w:top w:type="dxa" w:w="80"/>
              <w:left w:type="dxa" w:w="100"/>
              <w:bottom w:type="dxa" w:w="80"/>
              <w:right w:type="dxa" w:w="100"/>
            </w:tcMar>
          </w:tcPr>
          <w:p>
            <w:r>
              <w:rPr>
                <w:b w:val="false"/>
                <w:bCs w:val="false"/>
                <w:sz w:val="20"/>
                <w:szCs w:val="20"/>
              </w:rPr>
              <w:t xml:space="preserve">Autenticar usuários por login institucional (e-mail) e senha, com possibilidade de integração SSO/Active Directory.</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RF63</w:t>
            </w:r>
          </w:p>
        </w:tc>
        <w:tc>
          <w:tcPr>
            <w:tcW w:type="dxa" w:w="7600"/>
            <w:tcMar>
              <w:top w:type="dxa" w:w="80"/>
              <w:left w:type="dxa" w:w="100"/>
              <w:bottom w:type="dxa" w:w="80"/>
              <w:right w:type="dxa" w:w="100"/>
            </w:tcMar>
          </w:tcPr>
          <w:p>
            <w:r>
              <w:rPr>
                <w:b w:val="false"/>
                <w:bCs w:val="false"/>
                <w:sz w:val="20"/>
                <w:szCs w:val="20"/>
              </w:rPr>
              <w:t xml:space="preserve">Exigir a troca da senha padrão no primeiro acesso do usuário.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RF64</w:t>
            </w:r>
          </w:p>
        </w:tc>
        <w:tc>
          <w:tcPr>
            <w:tcW w:type="dxa" w:w="7600"/>
            <w:tcMar>
              <w:top w:type="dxa" w:w="80"/>
              <w:left w:type="dxa" w:w="100"/>
              <w:bottom w:type="dxa" w:w="80"/>
              <w:right w:type="dxa" w:w="100"/>
            </w:tcMar>
          </w:tcPr>
          <w:p>
            <w:r>
              <w:rPr>
                <w:b w:val="false"/>
                <w:bCs w:val="false"/>
                <w:sz w:val="20"/>
                <w:szCs w:val="20"/>
              </w:rPr>
              <w:t xml:space="preserve">Segregar perfis de acesso por função, impedindo que um mesmo usuário solicite, aprove, autorize e execute o mesmo pagamento.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RF65</w:t>
            </w:r>
          </w:p>
        </w:tc>
        <w:tc>
          <w:tcPr>
            <w:tcW w:type="dxa" w:w="7600"/>
            <w:tcMar>
              <w:top w:type="dxa" w:w="80"/>
              <w:left w:type="dxa" w:w="100"/>
              <w:bottom w:type="dxa" w:w="80"/>
              <w:right w:type="dxa" w:w="100"/>
            </w:tcMar>
          </w:tcPr>
          <w:p>
            <w:r>
              <w:rPr>
                <w:b w:val="false"/>
                <w:bCs w:val="false"/>
                <w:sz w:val="20"/>
                <w:szCs w:val="20"/>
              </w:rPr>
              <w:t xml:space="preserve">Registrar tentativas de acesso malsucedidas e aplicar bloqueio temporário após limite parametrizável.</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RF66</w:t>
            </w:r>
          </w:p>
        </w:tc>
        <w:tc>
          <w:tcPr>
            <w:tcW w:type="dxa" w:w="7600"/>
            <w:tcMar>
              <w:top w:type="dxa" w:w="80"/>
              <w:left w:type="dxa" w:w="100"/>
              <w:bottom w:type="dxa" w:w="80"/>
              <w:right w:type="dxa" w:w="100"/>
            </w:tcMar>
          </w:tcPr>
          <w:p>
            <w:r>
              <w:rPr>
                <w:b w:val="false"/>
                <w:bCs w:val="false"/>
                <w:sz w:val="20"/>
                <w:szCs w:val="20"/>
              </w:rPr>
              <w:t xml:space="preserve">Criptografar dados sensíveis em trânsito e em repouso, incluindo dados bancários de credores.</w:t>
            </w:r>
          </w:p>
        </w:tc>
        <w:tc>
          <w:tcPr>
            <w:tcW w:type="dxa" w:w="1500"/>
            <w:tcMar>
              <w:top w:type="dxa" w:w="80"/>
              <w:left w:type="dxa" w:w="100"/>
              <w:bottom w:type="dxa" w:w="80"/>
              <w:right w:type="dxa" w:w="100"/>
            </w:tcMar>
          </w:tcPr>
          <w:p>
            <w:r>
              <w:rPr>
                <w:b w:val="false"/>
                <w:bCs w:val="false"/>
                <w:sz w:val="20"/>
                <w:szCs w:val="20"/>
              </w:rPr>
              <w:t xml:space="preserve">Essencial</w:t>
            </w:r>
          </w:p>
        </w:tc>
      </w:tr>
    </w:tbl>
    <w:p>
      <w:r>
        <w:br w:type="page"/>
      </w:r>
    </w:p>
    <w:p>
      <w:pPr>
        <w:pStyle w:val="Heading1"/>
        <w:spacing w:after="160" w:before="360"/>
      </w:pPr>
      <w:r>
        <w:t xml:space="preserve">7. Requisitos Não Funcionais Gerais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500"/>
      </w:tblGrid>
      <w:tr>
        <w:trPr>
          <w:tblHeader/>
        </w:trPr>
        <w:tc>
          <w:tcPr>
            <w:tcW w:type="dxa" w:w="900"/>
            <w:shd w:fill="EAF1EF" w:color="auto" w:val="clear"/>
            <w:tcMar>
              <w:top w:type="dxa" w:w="80"/>
              <w:left w:type="dxa" w:w="100"/>
              <w:bottom w:type="dxa" w:w="80"/>
              <w:right w:type="dxa" w:w="100"/>
            </w:tcMar>
          </w:tcPr>
          <w:p>
            <w:r>
              <w:rPr>
                <w:b/>
                <w:bCs/>
                <w:sz w:val="20"/>
                <w:szCs w:val="20"/>
              </w:rPr>
              <w:t xml:space="preserve">ID</w:t>
            </w:r>
          </w:p>
        </w:tc>
        <w:tc>
          <w:tcPr>
            <w:tcW w:type="dxa" w:w="7600"/>
            <w:shd w:fill="EAF1EF" w:color="auto" w:val="clear"/>
            <w:tcMar>
              <w:top w:type="dxa" w:w="80"/>
              <w:left w:type="dxa" w:w="100"/>
              <w:bottom w:type="dxa" w:w="80"/>
              <w:right w:type="dxa" w:w="100"/>
            </w:tcMar>
          </w:tcPr>
          <w:p>
            <w:r>
              <w:rPr>
                <w:b/>
                <w:bCs/>
                <w:sz w:val="20"/>
                <w:szCs w:val="20"/>
              </w:rPr>
              <w:t xml:space="preserve">Requisito Funcional</w:t>
            </w:r>
          </w:p>
        </w:tc>
        <w:tc>
          <w:tcPr>
            <w:tcW w:type="dxa" w:w="1500"/>
            <w:shd w:fill="EAF1EF" w:color="auto" w:val="clear"/>
            <w:tcMar>
              <w:top w:type="dxa" w:w="80"/>
              <w:left w:type="dxa" w:w="100"/>
              <w:bottom w:type="dxa" w:w="80"/>
              <w:right w:type="dxa" w:w="100"/>
            </w:tcMar>
          </w:tcPr>
          <w:p>
            <w:r>
              <w:rPr>
                <w:b/>
                <w:bCs/>
                <w:sz w:val="20"/>
                <w:szCs w:val="20"/>
              </w:rPr>
              <w:t xml:space="preserve">Prioridade</w:t>
            </w:r>
          </w:p>
        </w:tc>
      </w:tr>
      <w:tr>
        <w:tc>
          <w:tcPr>
            <w:tcW w:type="dxa" w:w="900"/>
            <w:tcMar>
              <w:top w:type="dxa" w:w="80"/>
              <w:left w:type="dxa" w:w="100"/>
              <w:bottom w:type="dxa" w:w="80"/>
              <w:right w:type="dxa" w:w="100"/>
            </w:tcMar>
          </w:tcPr>
          <w:p>
            <w:r>
              <w:rPr>
                <w:b w:val="false"/>
                <w:bCs w:val="false"/>
                <w:sz w:val="20"/>
                <w:szCs w:val="20"/>
              </w:rPr>
              <w:t xml:space="preserve">RNF01</w:t>
            </w:r>
          </w:p>
        </w:tc>
        <w:tc>
          <w:tcPr>
            <w:tcW w:type="dxa" w:w="7600"/>
            <w:tcMar>
              <w:top w:type="dxa" w:w="80"/>
              <w:left w:type="dxa" w:w="100"/>
              <w:bottom w:type="dxa" w:w="80"/>
              <w:right w:type="dxa" w:w="100"/>
            </w:tcMar>
          </w:tcPr>
          <w:p>
            <w:r>
              <w:rPr>
                <w:b w:val="false"/>
                <w:bCs w:val="false"/>
                <w:sz w:val="20"/>
                <w:szCs w:val="20"/>
              </w:rPr>
              <w:t xml:space="preserve">Disponibilidade mínima de 99% em horário comercial (dias úteis, 7h às 19h).</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RNF02</w:t>
            </w:r>
          </w:p>
        </w:tc>
        <w:tc>
          <w:tcPr>
            <w:tcW w:type="dxa" w:w="7600"/>
            <w:tcMar>
              <w:top w:type="dxa" w:w="80"/>
              <w:left w:type="dxa" w:w="100"/>
              <w:bottom w:type="dxa" w:w="80"/>
              <w:right w:type="dxa" w:w="100"/>
            </w:tcMar>
          </w:tcPr>
          <w:p>
            <w:r>
              <w:rPr>
                <w:b w:val="false"/>
                <w:bCs w:val="false"/>
                <w:sz w:val="20"/>
                <w:szCs w:val="20"/>
              </w:rPr>
              <w:t xml:space="preserve">Tempo de resposta inferior a 3 segundos para telas de listagem e filtro com até 5.000 registros retornados.</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RNF03</w:t>
            </w:r>
          </w:p>
        </w:tc>
        <w:tc>
          <w:tcPr>
            <w:tcW w:type="dxa" w:w="7600"/>
            <w:tcMar>
              <w:top w:type="dxa" w:w="80"/>
              <w:left w:type="dxa" w:w="100"/>
              <w:bottom w:type="dxa" w:w="80"/>
              <w:right w:type="dxa" w:w="100"/>
            </w:tcMar>
          </w:tcPr>
          <w:p>
            <w:r>
              <w:rPr>
                <w:b w:val="false"/>
                <w:bCs w:val="false"/>
                <w:sz w:val="20"/>
                <w:szCs w:val="20"/>
              </w:rPr>
              <w:t xml:space="preserve">Compatibilidade com os navegadores Chrome, Edge e Firefox em suas versões vigentes, com layout responsivo para dispositivos móveis.</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RNF04</w:t>
            </w:r>
          </w:p>
        </w:tc>
        <w:tc>
          <w:tcPr>
            <w:tcW w:type="dxa" w:w="7600"/>
            <w:tcMar>
              <w:top w:type="dxa" w:w="80"/>
              <w:left w:type="dxa" w:w="100"/>
              <w:bottom w:type="dxa" w:w="80"/>
              <w:right w:type="dxa" w:w="100"/>
            </w:tcMar>
          </w:tcPr>
          <w:p>
            <w:r>
              <w:rPr>
                <w:b w:val="false"/>
                <w:bCs w:val="false"/>
                <w:sz w:val="20"/>
                <w:szCs w:val="20"/>
              </w:rPr>
              <w:t xml:space="preserve">Conformidade com a LGPD quanto ao tratamento, acesso e retenção de dados pessoais.</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RNF05</w:t>
            </w:r>
          </w:p>
        </w:tc>
        <w:tc>
          <w:tcPr>
            <w:tcW w:type="dxa" w:w="7600"/>
            <w:tcMar>
              <w:top w:type="dxa" w:w="80"/>
              <w:left w:type="dxa" w:w="100"/>
              <w:bottom w:type="dxa" w:w="80"/>
              <w:right w:type="dxa" w:w="100"/>
            </w:tcMar>
          </w:tcPr>
          <w:p>
            <w:r>
              <w:rPr>
                <w:b w:val="false"/>
                <w:bCs w:val="false"/>
                <w:sz w:val="20"/>
                <w:szCs w:val="20"/>
              </w:rPr>
              <w:t xml:space="preserve">Escalabilidade para operação simultânea de múltiplos órgãos/secretarias em um único ambiente municipal (arquitetura multiórgão).</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RNF06</w:t>
            </w:r>
          </w:p>
        </w:tc>
        <w:tc>
          <w:tcPr>
            <w:tcW w:type="dxa" w:w="7600"/>
            <w:tcMar>
              <w:top w:type="dxa" w:w="80"/>
              <w:left w:type="dxa" w:w="100"/>
              <w:bottom w:type="dxa" w:w="80"/>
              <w:right w:type="dxa" w:w="100"/>
            </w:tcMar>
          </w:tcPr>
          <w:p>
            <w:r>
              <w:rPr>
                <w:b w:val="false"/>
                <w:bCs w:val="false"/>
                <w:sz w:val="20"/>
                <w:szCs w:val="20"/>
              </w:rPr>
              <w:t xml:space="preserve">Rotina de backup diário automatizado, com plano de continuidade e recuperação de desastres.</w:t>
            </w:r>
          </w:p>
        </w:tc>
        <w:tc>
          <w:tcPr>
            <w:tcW w:type="dxa" w:w="1500"/>
            <w:tcMar>
              <w:top w:type="dxa" w:w="80"/>
              <w:left w:type="dxa" w:w="100"/>
              <w:bottom w:type="dxa" w:w="80"/>
              <w:right w:type="dxa" w:w="100"/>
            </w:tcMar>
          </w:tcPr>
          <w:p>
            <w:r>
              <w:rPr>
                <w:b w:val="false"/>
                <w:bCs w:val="false"/>
                <w:sz w:val="20"/>
                <w:szCs w:val="20"/>
              </w:rPr>
              <w:t xml:space="preserve">Essencial</w:t>
            </w:r>
          </w:p>
        </w:tc>
      </w:tr>
      <w:tr>
        <w:tc>
          <w:tcPr>
            <w:tcW w:type="dxa" w:w="900"/>
            <w:tcMar>
              <w:top w:type="dxa" w:w="80"/>
              <w:left w:type="dxa" w:w="100"/>
              <w:bottom w:type="dxa" w:w="80"/>
              <w:right w:type="dxa" w:w="100"/>
            </w:tcMar>
          </w:tcPr>
          <w:p>
            <w:r>
              <w:rPr>
                <w:b w:val="false"/>
                <w:bCs w:val="false"/>
                <w:sz w:val="20"/>
                <w:szCs w:val="20"/>
              </w:rPr>
              <w:t xml:space="preserve">RNF07</w:t>
            </w:r>
          </w:p>
        </w:tc>
        <w:tc>
          <w:tcPr>
            <w:tcW w:type="dxa" w:w="7600"/>
            <w:tcMar>
              <w:top w:type="dxa" w:w="80"/>
              <w:left w:type="dxa" w:w="100"/>
              <w:bottom w:type="dxa" w:w="80"/>
              <w:right w:type="dxa" w:w="100"/>
            </w:tcMar>
          </w:tcPr>
          <w:p>
            <w:r>
              <w:rPr>
                <w:b w:val="false"/>
                <w:bCs w:val="false"/>
                <w:sz w:val="20"/>
                <w:szCs w:val="20"/>
              </w:rPr>
              <w:t xml:space="preserve">Interoperabilidade via API/webservice com o sistema municipal de execução orçamentária e contábil (para validação de NE/liquidação) e, quando disponível, com sistemas bancários via Open Finance.</w:t>
            </w:r>
          </w:p>
        </w:tc>
        <w:tc>
          <w:tcPr>
            <w:tcW w:type="dxa" w:w="1500"/>
            <w:tcMar>
              <w:top w:type="dxa" w:w="80"/>
              <w:left w:type="dxa" w:w="100"/>
              <w:bottom w:type="dxa" w:w="80"/>
              <w:right w:type="dxa" w:w="100"/>
            </w:tcMar>
          </w:tcPr>
          <w:p>
            <w:r>
              <w:rPr>
                <w:b w:val="false"/>
                <w:bCs w:val="false"/>
                <w:sz w:val="20"/>
                <w:szCs w:val="20"/>
              </w:rPr>
              <w:t xml:space="preserve">Importante</w:t>
            </w:r>
          </w:p>
        </w:tc>
      </w:tr>
      <w:tr>
        <w:tc>
          <w:tcPr>
            <w:tcW w:type="dxa" w:w="900"/>
            <w:tcMar>
              <w:top w:type="dxa" w:w="80"/>
              <w:left w:type="dxa" w:w="100"/>
              <w:bottom w:type="dxa" w:w="80"/>
              <w:right w:type="dxa" w:w="100"/>
            </w:tcMar>
          </w:tcPr>
          <w:p>
            <w:r>
              <w:rPr>
                <w:b w:val="false"/>
                <w:bCs w:val="false"/>
                <w:sz w:val="20"/>
                <w:szCs w:val="20"/>
              </w:rPr>
              <w:t xml:space="preserve">RNF08</w:t>
            </w:r>
          </w:p>
        </w:tc>
        <w:tc>
          <w:tcPr>
            <w:tcW w:type="dxa" w:w="7600"/>
            <w:tcMar>
              <w:top w:type="dxa" w:w="80"/>
              <w:left w:type="dxa" w:w="100"/>
              <w:bottom w:type="dxa" w:w="80"/>
              <w:right w:type="dxa" w:w="100"/>
            </w:tcMar>
          </w:tcPr>
          <w:p>
            <w:r>
              <w:rPr>
                <w:b w:val="false"/>
                <w:bCs w:val="false"/>
                <w:sz w:val="20"/>
                <w:szCs w:val="20"/>
              </w:rPr>
              <w:t xml:space="preserve">Acessibilidade digital compatível com as diretrizes WCAG para usuários com deficiência.</w:t>
            </w:r>
          </w:p>
        </w:tc>
        <w:tc>
          <w:tcPr>
            <w:tcW w:type="dxa" w:w="1500"/>
            <w:tcMar>
              <w:top w:type="dxa" w:w="80"/>
              <w:left w:type="dxa" w:w="100"/>
              <w:bottom w:type="dxa" w:w="80"/>
              <w:right w:type="dxa" w:w="100"/>
            </w:tcMar>
          </w:tcPr>
          <w:p>
            <w:r>
              <w:rPr>
                <w:b w:val="false"/>
                <w:bCs w:val="false"/>
                <w:sz w:val="20"/>
                <w:szCs w:val="20"/>
              </w:rPr>
              <w:t xml:space="preserve">Desejável</w:t>
            </w:r>
          </w:p>
        </w:tc>
      </w:tr>
    </w:tbl>
    <w:p>
      <w:pPr>
        <w:pStyle w:val="Heading1"/>
        <w:spacing w:after="160" w:before="360"/>
      </w:pPr>
      <w:r>
        <w:t xml:space="preserve">8. Considerações Finais e Próximos Passos</w:t>
      </w:r>
    </w:p>
    <w:p>
      <w:pPr>
        <w:pStyle w:val="ListParagraph"/>
        <w:numPr>
          <w:ilvl w:val="0"/>
          <w:numId w:val="1"/>
        </w:numPr>
        <w:spacing w:after="80" w:line="276"/>
      </w:pPr>
      <w:r>
        <w:t xml:space="preserve">Recomenda-se a validação deste levantamento com as áreas de Contabilidade, Tesouraria, Controle Interno e Procuradoria Municipal antes da elaboração de termo de referência ou edital de contratação.</w:t>
      </w:r>
    </w:p>
    <w:p>
      <w:pPr>
        <w:pStyle w:val="ListParagraph"/>
        <w:numPr>
          <w:ilvl w:val="0"/>
          <w:numId w:val="1"/>
        </w:numPr>
        <w:spacing w:after="80" w:line="276"/>
      </w:pPr>
      <w:r>
        <w:t xml:space="preserve">A parametrização de naturezas de despesa, fontes de recursos e grupos de financiamento deve ser compatibilizada com o Plano de Contas Aplicado ao Setor Público (PCASP) já em uso pelo Município.</w:t>
      </w:r>
    </w:p>
    <w:p>
      <w:pPr>
        <w:pStyle w:val="ListParagraph"/>
        <w:numPr>
          <w:ilvl w:val="0"/>
          <w:numId w:val="1"/>
        </w:numPr>
        <w:spacing w:after="80" w:line="276"/>
      </w:pPr>
      <w:r>
        <w:t xml:space="preserve">Recomenda-se a implantação em fases, com piloto em uma secretaria de menor complexidade antes da expansão para os demais órgãos.</w:t>
      </w:r>
    </w:p>
    <w:p>
      <w:pPr>
        <w:pStyle w:val="ListParagraph"/>
        <w:numPr>
          <w:ilvl w:val="0"/>
          <w:numId w:val="1"/>
        </w:numPr>
        <w:spacing w:after="80" w:line="276"/>
      </w:pPr>
      <w:r>
        <w:t xml:space="preserve">O módulo de conciliação bancária automatizada (M7) deve ser tratado como entrega prioritária, por representar o maior ganho de eficiência identificado — a eliminação da alimentação manual diária dos saldos pela Tesouraria.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Documento de Requisitos — Sistema de Gestão de Autorização de Pagamentos Municipais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pPr>
      <w:spacing w:after="120" w:before="280"/>
      <w:outlineLvl w:val="1"/>
    </w:pPr>
    <w:rPr>
      <w:rFonts w:ascii="Calibri" w:cs="Calibri" w:eastAsia="Calibri" w:hAnsi="Calibri"/>
      <w:b/>
      <w:bCs/>
      <w:color w:val="0F6B5C"/>
      <w:sz w:val="25"/>
      <w:szCs w:val="25"/>
    </w:rPr>
  </w:style>
  <w:style w:type="paragraph" w:styleId="Heading3">
    <w:name w:val="Heading 3"/>
    <w:basedOn w:val="Normal"/>
    <w:next w:val="Normal"/>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2026-07-09T21:35:06.113Z</dcterms:created>
  <dcterms:modified xsi:type="dcterms:W3CDTF">2026-07-09T21:35:06.113Z</dcterms:modified>
</cp:coreProperties>
</file>

<file path=docProps/custom.xml><?xml version="1.0" encoding="utf-8"?>
<Properties xmlns="http://schemas.openxmlformats.org/officeDocument/2006/custom-properties" xmlns:vt="http://schemas.openxmlformats.org/officeDocument/2006/docPropsVTypes"/>
</file>