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05F" w:rsidRDefault="00143AA4" w:rsidP="00B16095">
      <w:pPr>
        <w:rPr>
          <w:rFonts w:ascii="Trebuchet MS" w:hAnsi="Trebuchet MS"/>
          <w:b/>
          <w:sz w:val="28"/>
          <w:szCs w:val="28"/>
        </w:rPr>
      </w:pPr>
      <w:bookmarkStart w:id="0" w:name="_GoBack"/>
      <w:bookmarkEnd w:id="0"/>
      <w:r>
        <w:rPr>
          <w:rFonts w:ascii="Trebuchet MS" w:hAnsi="Trebuchet MS"/>
          <w:b/>
          <w:sz w:val="28"/>
          <w:szCs w:val="28"/>
        </w:rPr>
        <w:t>Preliminary</w:t>
      </w:r>
      <w:r w:rsidR="0072628C">
        <w:rPr>
          <w:rFonts w:ascii="Trebuchet MS" w:hAnsi="Trebuchet MS"/>
          <w:b/>
          <w:sz w:val="28"/>
          <w:szCs w:val="28"/>
        </w:rPr>
        <w:t xml:space="preserve"> Project Report</w:t>
      </w:r>
    </w:p>
    <w:p w:rsidR="009E71E8" w:rsidRDefault="00143AA4" w:rsidP="00B16095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Client</w:t>
      </w:r>
      <w:r w:rsidR="00185DBE">
        <w:rPr>
          <w:rFonts w:ascii="Trebuchet MS" w:hAnsi="Trebuchet MS"/>
          <w:b/>
          <w:sz w:val="28"/>
          <w:szCs w:val="28"/>
        </w:rPr>
        <w:t xml:space="preserve">: </w:t>
      </w:r>
      <w:r>
        <w:rPr>
          <w:rFonts w:ascii="Trebuchet MS" w:hAnsi="Trebuchet MS"/>
          <w:b/>
          <w:sz w:val="28"/>
          <w:szCs w:val="28"/>
        </w:rPr>
        <w:t>University of Iowa (Paloma Giangrande)</w:t>
      </w:r>
    </w:p>
    <w:p w:rsidR="0072628C" w:rsidRDefault="00143AA4" w:rsidP="00B16095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November 9, 2016</w:t>
      </w:r>
    </w:p>
    <w:p w:rsidR="0072628C" w:rsidRDefault="0072628C" w:rsidP="00B16095">
      <w:pPr>
        <w:rPr>
          <w:rFonts w:ascii="Trebuchet MS" w:hAnsi="Trebuchet MS"/>
          <w:sz w:val="28"/>
          <w:szCs w:val="28"/>
        </w:rPr>
      </w:pPr>
    </w:p>
    <w:p w:rsidR="0072628C" w:rsidRDefault="0072628C" w:rsidP="00B16095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Aaron Martin</w:t>
      </w:r>
    </w:p>
    <w:p w:rsidR="0072628C" w:rsidRDefault="0072628C" w:rsidP="00B16095">
      <w:pPr>
        <w:rPr>
          <w:rFonts w:ascii="Trebuchet MS" w:hAnsi="Trebuchet MS"/>
          <w:sz w:val="28"/>
          <w:szCs w:val="28"/>
        </w:rPr>
      </w:pPr>
    </w:p>
    <w:p w:rsidR="00152396" w:rsidRDefault="0074716E" w:rsidP="00B16095">
      <w:pPr>
        <w:rPr>
          <w:rFonts w:ascii="Trebuchet MS" w:hAnsi="Trebuchet MS"/>
        </w:rPr>
      </w:pPr>
      <w:r>
        <w:rPr>
          <w:rFonts w:ascii="Trebuchet MS" w:hAnsi="Trebuchet MS"/>
          <w:sz w:val="28"/>
          <w:szCs w:val="28"/>
        </w:rPr>
        <w:t>Introduction</w:t>
      </w:r>
    </w:p>
    <w:p w:rsidR="0074716E" w:rsidRPr="00A8367B" w:rsidRDefault="00A645CF" w:rsidP="00B16095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The project objective was to determine kinetic rate and equilibrium dissociation constants for RNA aptamers binding immobilized H4 Histone and Histone from Calf thymus. </w:t>
      </w:r>
      <w:r w:rsidR="00A8367B">
        <w:rPr>
          <w:rFonts w:ascii="Trebuchet MS" w:hAnsi="Trebuchet MS"/>
        </w:rPr>
        <w:t xml:space="preserve">SensíQ Pioneer </w:t>
      </w:r>
      <w:r w:rsidR="00A8367B">
        <w:rPr>
          <w:rFonts w:ascii="Trebuchet MS" w:hAnsi="Trebuchet MS"/>
          <w:i/>
        </w:rPr>
        <w:t>FE</w:t>
      </w:r>
      <w:r w:rsidR="00A8367B">
        <w:rPr>
          <w:rFonts w:ascii="Trebuchet MS" w:hAnsi="Trebuchet MS"/>
        </w:rPr>
        <w:t xml:space="preserve"> was used to capture both histone proteins on respective flow channels and test binding of three specific aptamers and one negative control aptamer. A regeneration method using 1M </w:t>
      </w:r>
      <w:proofErr w:type="spellStart"/>
      <w:r w:rsidR="00A8367B">
        <w:rPr>
          <w:rFonts w:ascii="Trebuchet MS" w:hAnsi="Trebuchet MS"/>
        </w:rPr>
        <w:t>NaCl</w:t>
      </w:r>
      <w:proofErr w:type="spellEnd"/>
      <w:r w:rsidR="00A8367B">
        <w:rPr>
          <w:rFonts w:ascii="Trebuchet MS" w:hAnsi="Trebuchet MS"/>
        </w:rPr>
        <w:t xml:space="preserve"> was tested and shown to give reproducible responses after multiple binding-regeneration cycles.</w:t>
      </w:r>
    </w:p>
    <w:p w:rsidR="00143AA4" w:rsidRDefault="00143AA4" w:rsidP="00B16095">
      <w:pPr>
        <w:rPr>
          <w:rFonts w:ascii="Trebuchet MS" w:hAnsi="Trebuchet MS"/>
        </w:rPr>
      </w:pPr>
    </w:p>
    <w:p w:rsidR="0074716E" w:rsidRDefault="00537A37" w:rsidP="00B16095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Methods</w:t>
      </w:r>
    </w:p>
    <w:p w:rsidR="00EB253A" w:rsidRDefault="00EB253A" w:rsidP="00B16095">
      <w:pPr>
        <w:rPr>
          <w:rFonts w:ascii="Trebuchet MS" w:hAnsi="Trebuchet MS"/>
        </w:rPr>
      </w:pPr>
    </w:p>
    <w:p w:rsidR="00C420B9" w:rsidRPr="00C420B9" w:rsidRDefault="00C420B9" w:rsidP="00B16095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SensíQ Pioneer </w:t>
      </w:r>
      <w:r>
        <w:rPr>
          <w:rFonts w:ascii="Trebuchet MS" w:hAnsi="Trebuchet MS"/>
          <w:i/>
        </w:rPr>
        <w:t xml:space="preserve">FE </w:t>
      </w:r>
      <w:r>
        <w:rPr>
          <w:rFonts w:ascii="Trebuchet MS" w:hAnsi="Trebuchet MS"/>
        </w:rPr>
        <w:t xml:space="preserve">was used for SPR analysis with an assay buffer containing 10 </w:t>
      </w:r>
      <w:proofErr w:type="spellStart"/>
      <w:r>
        <w:rPr>
          <w:rFonts w:ascii="Trebuchet MS" w:hAnsi="Trebuchet MS"/>
        </w:rPr>
        <w:t>mM</w:t>
      </w:r>
      <w:proofErr w:type="spellEnd"/>
      <w:r>
        <w:rPr>
          <w:rFonts w:ascii="Trebuchet MS" w:hAnsi="Trebuchet MS"/>
        </w:rPr>
        <w:t xml:space="preserve"> HEPES pH 7.4, 150 </w:t>
      </w:r>
      <w:proofErr w:type="spellStart"/>
      <w:r>
        <w:rPr>
          <w:rFonts w:ascii="Trebuchet MS" w:hAnsi="Trebuchet MS"/>
        </w:rPr>
        <w:t>mM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NaCl</w:t>
      </w:r>
      <w:proofErr w:type="spellEnd"/>
      <w:r>
        <w:rPr>
          <w:rFonts w:ascii="Trebuchet MS" w:hAnsi="Trebuchet MS"/>
        </w:rPr>
        <w:t xml:space="preserve">, and 2 </w:t>
      </w:r>
      <w:proofErr w:type="spellStart"/>
      <w:r>
        <w:rPr>
          <w:rFonts w:ascii="Trebuchet MS" w:hAnsi="Trebuchet MS"/>
        </w:rPr>
        <w:t>mM</w:t>
      </w:r>
      <w:proofErr w:type="spellEnd"/>
      <w:r>
        <w:rPr>
          <w:rFonts w:ascii="Trebuchet MS" w:hAnsi="Trebuchet MS"/>
        </w:rPr>
        <w:t xml:space="preserve"> CaCl</w:t>
      </w:r>
      <w:r>
        <w:rPr>
          <w:rFonts w:ascii="Trebuchet MS" w:hAnsi="Trebuchet MS"/>
          <w:vertAlign w:val="subscript"/>
        </w:rPr>
        <w:t>2</w:t>
      </w:r>
      <w:r>
        <w:rPr>
          <w:rFonts w:ascii="Trebuchet MS" w:hAnsi="Trebuchet MS"/>
        </w:rPr>
        <w:t xml:space="preserve">. </w:t>
      </w:r>
    </w:p>
    <w:p w:rsidR="00C420B9" w:rsidRPr="00EB253A" w:rsidRDefault="00C420B9" w:rsidP="00B16095">
      <w:pPr>
        <w:rPr>
          <w:rFonts w:ascii="Trebuchet MS" w:hAnsi="Trebuchet MS"/>
        </w:rPr>
      </w:pPr>
    </w:p>
    <w:p w:rsidR="00EB253A" w:rsidRPr="00EB253A" w:rsidRDefault="00EB253A" w:rsidP="00B16095">
      <w:pPr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 xml:space="preserve">Immobilization of </w:t>
      </w:r>
      <w:r w:rsidR="00605AA4">
        <w:rPr>
          <w:rFonts w:ascii="Trebuchet MS" w:hAnsi="Trebuchet MS"/>
          <w:u w:val="single"/>
        </w:rPr>
        <w:t>Histone Proteins</w:t>
      </w:r>
    </w:p>
    <w:p w:rsidR="009E71E8" w:rsidRDefault="00605AA4" w:rsidP="00B16095">
      <w:pPr>
        <w:rPr>
          <w:rFonts w:ascii="Trebuchet MS" w:hAnsi="Trebuchet MS"/>
        </w:rPr>
      </w:pPr>
      <w:r>
        <w:rPr>
          <w:rFonts w:ascii="Trebuchet MS" w:hAnsi="Trebuchet MS"/>
        </w:rPr>
        <w:t>pH scouting was performed with both proteins and it was found that H4 Histone preconcentrated to a COOHV biosensor optimally at pH 4.7 and Calf thymus histone at pH 6.0. To prevent non-specific binding to the vial and sensor surface a small concentration (~0.01%) of Tween-20 was added to these solutions.</w:t>
      </w:r>
      <w:r w:rsidR="00670409">
        <w:rPr>
          <w:rFonts w:ascii="Trebuchet MS" w:hAnsi="Trebuchet MS"/>
        </w:rPr>
        <w:t xml:space="preserve"> The proteins were immobilized following a standard amine coupling procedure where a mixture of EDC and NHS was injected to activate the surface carboxyl groups and protein was injected to react with and be coupled to the sensor surface. 1M Tris pH 8 was injected last to deactivate remaining active carboxyl groups.</w:t>
      </w:r>
    </w:p>
    <w:p w:rsidR="00670409" w:rsidRDefault="00670409" w:rsidP="00670409">
      <w:pPr>
        <w:keepNext/>
      </w:pPr>
      <w:r>
        <w:rPr>
          <w:noProof/>
        </w:rPr>
        <w:lastRenderedPageBreak/>
        <w:drawing>
          <wp:inline distT="0" distB="0" distL="0" distR="0" wp14:anchorId="736DC57E" wp14:editId="553E7346">
            <wp:extent cx="5943600" cy="2872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409" w:rsidRDefault="00670409" w:rsidP="00670409">
      <w:pPr>
        <w:pStyle w:val="Caption"/>
      </w:pPr>
      <w:r>
        <w:t xml:space="preserve">Figure </w:t>
      </w:r>
      <w:r w:rsidR="00EC3637">
        <w:fldChar w:fldCharType="begin"/>
      </w:r>
      <w:r w:rsidR="00EC3637">
        <w:instrText xml:space="preserve"> SEQ Figure \* ARABIC </w:instrText>
      </w:r>
      <w:r w:rsidR="00EC3637">
        <w:fldChar w:fldCharType="separate"/>
      </w:r>
      <w:r w:rsidR="000221E9">
        <w:rPr>
          <w:noProof/>
        </w:rPr>
        <w:t>1</w:t>
      </w:r>
      <w:r w:rsidR="00EC3637">
        <w:rPr>
          <w:noProof/>
        </w:rPr>
        <w:fldChar w:fldCharType="end"/>
      </w:r>
      <w:r>
        <w:t xml:space="preserve"> – Immobilization of H4 Histone. </w:t>
      </w:r>
      <w:r w:rsidR="00BD42A1">
        <w:t>Channels 1</w:t>
      </w:r>
      <w:r w:rsidR="00DD26C6">
        <w:t xml:space="preserve"> and</w:t>
      </w:r>
      <w:r w:rsidR="00BD42A1">
        <w:t xml:space="preserve"> 2</w:t>
      </w:r>
      <w:r w:rsidR="00DD26C6">
        <w:t xml:space="preserve"> </w:t>
      </w:r>
      <w:r w:rsidR="00BD42A1">
        <w:t>are illustrated in red</w:t>
      </w:r>
      <w:r w:rsidR="00DD26C6">
        <w:t xml:space="preserve"> and</w:t>
      </w:r>
      <w:r w:rsidR="00BD42A1">
        <w:t xml:space="preserve"> green</w:t>
      </w:r>
      <w:r w:rsidR="00DD26C6">
        <w:t xml:space="preserve"> </w:t>
      </w:r>
      <w:r w:rsidR="00BD42A1">
        <w:t xml:space="preserve">curves. </w:t>
      </w:r>
      <w:r>
        <w:t>Injections are shown in highlighted. Activation with EDC/NHS was first, H4 Histone in pH 4.7 Acetate</w:t>
      </w:r>
      <w:r w:rsidR="00991C7B">
        <w:t xml:space="preserve"> buffer</w:t>
      </w:r>
      <w:r>
        <w:t xml:space="preserve"> was second, and 1M Tris (cropped) was the third injection.</w:t>
      </w:r>
    </w:p>
    <w:p w:rsidR="00991C7B" w:rsidRDefault="00991C7B" w:rsidP="00991C7B">
      <w:pPr>
        <w:keepNext/>
      </w:pPr>
      <w:r>
        <w:rPr>
          <w:noProof/>
        </w:rPr>
        <w:drawing>
          <wp:inline distT="0" distB="0" distL="0" distR="0" wp14:anchorId="685296CA" wp14:editId="436FAE75">
            <wp:extent cx="5943600" cy="2872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409" w:rsidRPr="00670409" w:rsidRDefault="00991C7B" w:rsidP="00991C7B">
      <w:pPr>
        <w:pStyle w:val="Caption"/>
      </w:pPr>
      <w:r>
        <w:t xml:space="preserve">Figure </w:t>
      </w:r>
      <w:r w:rsidR="00EC3637">
        <w:fldChar w:fldCharType="begin"/>
      </w:r>
      <w:r w:rsidR="00EC3637">
        <w:instrText xml:space="preserve"> SEQ Figure \* ARABIC </w:instrText>
      </w:r>
      <w:r w:rsidR="00EC3637">
        <w:fldChar w:fldCharType="separate"/>
      </w:r>
      <w:r w:rsidR="000221E9">
        <w:rPr>
          <w:noProof/>
        </w:rPr>
        <w:t>2</w:t>
      </w:r>
      <w:r w:rsidR="00EC3637">
        <w:rPr>
          <w:noProof/>
        </w:rPr>
        <w:fldChar w:fldCharType="end"/>
      </w:r>
      <w:r>
        <w:t xml:space="preserve"> – Immobilization of Calf </w:t>
      </w:r>
      <w:proofErr w:type="gramStart"/>
      <w:r>
        <w:t>thymus</w:t>
      </w:r>
      <w:proofErr w:type="gramEnd"/>
      <w:r>
        <w:t xml:space="preserve"> Histone. Channels 2 and 3 are illustrated in green and blue curves. Injections are shown in highlighted. Activation with EDC/NHS was first, Calf thymus Histone in pH 6.0 Acetate buffer was second, and 1M Tris (cropped) was the third injection.</w:t>
      </w:r>
    </w:p>
    <w:p w:rsidR="009E71E8" w:rsidRDefault="00C420B9" w:rsidP="00B16095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Approximately 2500 response units (RU) of H4 Histone and 3000 RU of Calf thymus histone were immobilized on respective flow channels. Channel 2 was activated and deactivated to serve as a reference. </w:t>
      </w:r>
    </w:p>
    <w:p w:rsidR="00C420B9" w:rsidRDefault="00C420B9" w:rsidP="00B16095">
      <w:pPr>
        <w:rPr>
          <w:rFonts w:ascii="Trebuchet MS" w:hAnsi="Trebuchet MS"/>
        </w:rPr>
      </w:pPr>
    </w:p>
    <w:p w:rsidR="00A348A1" w:rsidRDefault="00A348A1" w:rsidP="00B16095">
      <w:pPr>
        <w:rPr>
          <w:rFonts w:ascii="Trebuchet MS" w:hAnsi="Trebuchet MS"/>
        </w:rPr>
      </w:pPr>
      <w:r>
        <w:rPr>
          <w:rFonts w:ascii="Trebuchet MS" w:hAnsi="Trebuchet MS"/>
          <w:u w:val="single"/>
        </w:rPr>
        <w:lastRenderedPageBreak/>
        <w:t>Kinetic Assay</w:t>
      </w:r>
    </w:p>
    <w:p w:rsidR="00A348A1" w:rsidRPr="00CF0742" w:rsidRDefault="000A0D52" w:rsidP="00B16095">
      <w:pPr>
        <w:rPr>
          <w:rFonts w:ascii="Trebuchet MS" w:hAnsi="Trebuchet MS"/>
          <w:i/>
        </w:rPr>
      </w:pPr>
      <w:r>
        <w:rPr>
          <w:rFonts w:ascii="Trebuchet MS" w:hAnsi="Trebuchet MS"/>
        </w:rPr>
        <w:t xml:space="preserve">A dilution series was prepared for each aptamer in buffer to make: 100, 50, 25, 12.5, and 10 </w:t>
      </w:r>
      <w:proofErr w:type="spellStart"/>
      <w:r>
        <w:rPr>
          <w:rFonts w:ascii="Trebuchet MS" w:hAnsi="Trebuchet MS"/>
        </w:rPr>
        <w:t>nM</w:t>
      </w:r>
      <w:proofErr w:type="spellEnd"/>
      <w:r>
        <w:rPr>
          <w:rFonts w:ascii="Trebuchet MS" w:hAnsi="Trebuchet MS"/>
        </w:rPr>
        <w:t xml:space="preserve">. </w:t>
      </w:r>
      <w:r w:rsidR="00CF0742">
        <w:rPr>
          <w:rFonts w:ascii="Trebuchet MS" w:hAnsi="Trebuchet MS"/>
        </w:rPr>
        <w:t xml:space="preserve">Each sample was injected over all three flow channels for 4 min at a flow rate of 30 µL/min and dissociation was monitored for 10 min. The sensor surface was regenerated after each analyte cycle by injecting 1M </w:t>
      </w:r>
      <w:proofErr w:type="spellStart"/>
      <w:r w:rsidR="00CF0742">
        <w:rPr>
          <w:rFonts w:ascii="Trebuchet MS" w:hAnsi="Trebuchet MS"/>
        </w:rPr>
        <w:t>NaCl</w:t>
      </w:r>
      <w:proofErr w:type="spellEnd"/>
      <w:r w:rsidR="00CF0742">
        <w:rPr>
          <w:rFonts w:ascii="Trebuchet MS" w:hAnsi="Trebuchet MS"/>
        </w:rPr>
        <w:t xml:space="preserve"> for 1 min. Data were processed by subtracting the reference channel signal and buffer blank responses (double referencing method). A two compartment kinetic (mass transport limited) model was fit to the data to determine rate constants of association (k</w:t>
      </w:r>
      <w:r w:rsidR="00CF0742">
        <w:rPr>
          <w:rFonts w:ascii="Trebuchet MS" w:hAnsi="Trebuchet MS"/>
          <w:vertAlign w:val="subscript"/>
        </w:rPr>
        <w:t>a</w:t>
      </w:r>
      <w:r w:rsidR="00CF0742">
        <w:rPr>
          <w:rFonts w:ascii="Trebuchet MS" w:hAnsi="Trebuchet MS"/>
        </w:rPr>
        <w:t>) and dissociation (</w:t>
      </w:r>
      <w:proofErr w:type="spellStart"/>
      <w:r w:rsidR="00CF0742">
        <w:rPr>
          <w:rFonts w:ascii="Trebuchet MS" w:hAnsi="Trebuchet MS"/>
        </w:rPr>
        <w:t>k</w:t>
      </w:r>
      <w:r w:rsidR="00CF0742">
        <w:rPr>
          <w:rFonts w:ascii="Trebuchet MS" w:hAnsi="Trebuchet MS"/>
          <w:vertAlign w:val="subscript"/>
        </w:rPr>
        <w:t>d</w:t>
      </w:r>
      <w:proofErr w:type="spellEnd"/>
      <w:r w:rsidR="00CF0742">
        <w:rPr>
          <w:rFonts w:ascii="Trebuchet MS" w:hAnsi="Trebuchet MS"/>
        </w:rPr>
        <w:t xml:space="preserve">). A local </w:t>
      </w:r>
      <w:proofErr w:type="spellStart"/>
      <w:r w:rsidR="00CF0742">
        <w:rPr>
          <w:rFonts w:ascii="Trebuchet MS" w:hAnsi="Trebuchet MS"/>
        </w:rPr>
        <w:t>Rmax</w:t>
      </w:r>
      <w:proofErr w:type="spellEnd"/>
      <w:r w:rsidR="00CF0742">
        <w:rPr>
          <w:rFonts w:ascii="Trebuchet MS" w:hAnsi="Trebuchet MS"/>
        </w:rPr>
        <w:t xml:space="preserve"> was provided in the fit due to an apparent concentration-dependent surface activity.</w:t>
      </w:r>
    </w:p>
    <w:p w:rsidR="00A348A1" w:rsidRDefault="00A348A1" w:rsidP="00B16095">
      <w:pPr>
        <w:rPr>
          <w:rFonts w:ascii="Trebuchet MS" w:hAnsi="Trebuchet MS"/>
        </w:rPr>
      </w:pPr>
    </w:p>
    <w:p w:rsidR="001617C5" w:rsidRDefault="001617C5" w:rsidP="00B16095">
      <w:pPr>
        <w:rPr>
          <w:rFonts w:ascii="Trebuchet MS" w:hAnsi="Trebuchet MS"/>
        </w:rPr>
      </w:pPr>
      <w:r>
        <w:rPr>
          <w:rFonts w:ascii="Trebuchet MS" w:hAnsi="Trebuchet MS"/>
          <w:sz w:val="28"/>
          <w:szCs w:val="28"/>
        </w:rPr>
        <w:t>Experimental Results &amp; Discussion</w:t>
      </w:r>
    </w:p>
    <w:p w:rsidR="000221E9" w:rsidRDefault="00CF0742" w:rsidP="000221E9">
      <w:pPr>
        <w:keepNext/>
      </w:pPr>
      <w:r>
        <w:rPr>
          <w:noProof/>
        </w:rPr>
        <w:drawing>
          <wp:inline distT="0" distB="0" distL="0" distR="0" wp14:anchorId="1E8EB67B" wp14:editId="63FB52AA">
            <wp:extent cx="2743200" cy="164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F36A0" wp14:editId="65FF5D0F">
            <wp:extent cx="2743200" cy="1645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9" w:rsidRDefault="000221E9" w:rsidP="000221E9">
      <w:pPr>
        <w:pStyle w:val="Caption"/>
      </w:pPr>
      <w:r>
        <w:t xml:space="preserve">Figure </w:t>
      </w:r>
      <w:r w:rsidR="00EC3637">
        <w:fldChar w:fldCharType="begin"/>
      </w:r>
      <w:r w:rsidR="00EC3637">
        <w:instrText xml:space="preserve"> SEQ Figure \* ARABIC </w:instrText>
      </w:r>
      <w:r w:rsidR="00EC3637">
        <w:fldChar w:fldCharType="separate"/>
      </w:r>
      <w:r>
        <w:rPr>
          <w:noProof/>
        </w:rPr>
        <w:t>3</w:t>
      </w:r>
      <w:r w:rsidR="00EC3637">
        <w:rPr>
          <w:noProof/>
        </w:rPr>
        <w:fldChar w:fldCharType="end"/>
      </w:r>
      <w:r w:rsidR="002301F0">
        <w:t xml:space="preserve"> – Kinetic analysis of KU5 binding calf thymus Histone (left) and H4 Histone (right).</w:t>
      </w:r>
    </w:p>
    <w:p w:rsidR="000221E9" w:rsidRDefault="000221E9" w:rsidP="000221E9">
      <w:pPr>
        <w:keepNext/>
      </w:pPr>
      <w:r>
        <w:rPr>
          <w:noProof/>
        </w:rPr>
        <w:drawing>
          <wp:inline distT="0" distB="0" distL="0" distR="0" wp14:anchorId="55D00266" wp14:editId="487A4A1F">
            <wp:extent cx="2743200" cy="1645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0D1AF" wp14:editId="6F5710C6">
            <wp:extent cx="2743200" cy="1645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E9" w:rsidRDefault="000221E9" w:rsidP="000221E9">
      <w:pPr>
        <w:pStyle w:val="Caption"/>
      </w:pPr>
      <w:r>
        <w:t xml:space="preserve">Figure </w:t>
      </w:r>
      <w:r w:rsidR="00EC3637">
        <w:fldChar w:fldCharType="begin"/>
      </w:r>
      <w:r w:rsidR="00EC3637">
        <w:instrText xml:space="preserve"> SEQ Figure \* ARABIC </w:instrText>
      </w:r>
      <w:r w:rsidR="00EC3637">
        <w:fldChar w:fldCharType="separate"/>
      </w:r>
      <w:r>
        <w:rPr>
          <w:noProof/>
        </w:rPr>
        <w:t>4</w:t>
      </w:r>
      <w:r w:rsidR="00EC3637">
        <w:rPr>
          <w:noProof/>
        </w:rPr>
        <w:fldChar w:fldCharType="end"/>
      </w:r>
      <w:r w:rsidR="002301F0">
        <w:t xml:space="preserve"> – Kinetic analysis of KU7 binding calf thymus Histone (left) and H4 Histone (right).</w:t>
      </w:r>
    </w:p>
    <w:p w:rsidR="000221E9" w:rsidRDefault="000221E9" w:rsidP="000221E9">
      <w:pPr>
        <w:keepNext/>
      </w:pPr>
      <w:r>
        <w:rPr>
          <w:noProof/>
        </w:rPr>
        <w:lastRenderedPageBreak/>
        <w:drawing>
          <wp:inline distT="0" distB="0" distL="0" distR="0" wp14:anchorId="0073072A" wp14:editId="1E950B51">
            <wp:extent cx="2743200" cy="1645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DD91D" wp14:editId="63AB5ED6">
            <wp:extent cx="2743200" cy="1645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E9" w:rsidRDefault="000221E9" w:rsidP="000221E9">
      <w:pPr>
        <w:pStyle w:val="Caption"/>
      </w:pPr>
      <w:r>
        <w:t xml:space="preserve">Figure </w:t>
      </w:r>
      <w:r w:rsidR="00EC3637">
        <w:fldChar w:fldCharType="begin"/>
      </w:r>
      <w:r w:rsidR="00EC3637">
        <w:instrText xml:space="preserve"> SEQ Figure \* ARABIC </w:instrText>
      </w:r>
      <w:r w:rsidR="00EC3637">
        <w:fldChar w:fldCharType="separate"/>
      </w:r>
      <w:r>
        <w:rPr>
          <w:noProof/>
        </w:rPr>
        <w:t>5</w:t>
      </w:r>
      <w:r w:rsidR="00EC3637">
        <w:rPr>
          <w:noProof/>
        </w:rPr>
        <w:fldChar w:fldCharType="end"/>
      </w:r>
      <w:r w:rsidR="002301F0">
        <w:t xml:space="preserve"> – Kinetic analysis of KU9 binding calf thymus Histone (left) and H4 Histone (right).</w:t>
      </w:r>
    </w:p>
    <w:p w:rsidR="000221E9" w:rsidRDefault="000221E9" w:rsidP="000221E9">
      <w:pPr>
        <w:keepNext/>
      </w:pPr>
      <w:r>
        <w:rPr>
          <w:noProof/>
        </w:rPr>
        <w:drawing>
          <wp:inline distT="0" distB="0" distL="0" distR="0" wp14:anchorId="273E697A" wp14:editId="20612BE3">
            <wp:extent cx="2743200" cy="1645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D70A4" wp14:editId="2C3720DE">
            <wp:extent cx="2743200" cy="1645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E9" w:rsidRPr="000221E9" w:rsidRDefault="000221E9" w:rsidP="000221E9">
      <w:pPr>
        <w:pStyle w:val="Caption"/>
      </w:pPr>
      <w:r>
        <w:t xml:space="preserve">Figure </w:t>
      </w:r>
      <w:r w:rsidR="00EC3637">
        <w:fldChar w:fldCharType="begin"/>
      </w:r>
      <w:r w:rsidR="00EC3637">
        <w:instrText xml:space="preserve"> SEQ Figure \* ARABIC </w:instrText>
      </w:r>
      <w:r w:rsidR="00EC3637">
        <w:fldChar w:fldCharType="separate"/>
      </w:r>
      <w:r>
        <w:rPr>
          <w:noProof/>
        </w:rPr>
        <w:t>6</w:t>
      </w:r>
      <w:r w:rsidR="00EC3637">
        <w:rPr>
          <w:noProof/>
        </w:rPr>
        <w:fldChar w:fldCharType="end"/>
      </w:r>
      <w:r w:rsidR="002301F0">
        <w:t xml:space="preserve"> – Kinetic analysis of NSC binding calf thymus Histone (left) and H4 Histone (right).</w:t>
      </w:r>
    </w:p>
    <w:p w:rsidR="000221E9" w:rsidRDefault="00F32954" w:rsidP="00B16095">
      <w:pPr>
        <w:rPr>
          <w:rFonts w:ascii="Trebuchet MS" w:hAnsi="Trebuchet MS"/>
        </w:rPr>
      </w:pPr>
      <w:r>
        <w:rPr>
          <w:rFonts w:ascii="Trebuchet MS" w:hAnsi="Trebuchet MS"/>
        </w:rPr>
        <w:t>Figures 3 – 6 show the binding responses of each aptamer binding the two Histone proteins. Color coding was used to illustrate the different analyte concentrations.</w:t>
      </w:r>
    </w:p>
    <w:p w:rsidR="004E6EF5" w:rsidRDefault="004E6EF5" w:rsidP="00B16095">
      <w:pPr>
        <w:rPr>
          <w:rFonts w:ascii="Trebuchet MS" w:hAnsi="Trebuchet MS"/>
        </w:rPr>
      </w:pPr>
    </w:p>
    <w:tbl>
      <w:tblPr>
        <w:tblW w:w="9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0"/>
        <w:gridCol w:w="2613"/>
        <w:gridCol w:w="1566"/>
        <w:gridCol w:w="2307"/>
        <w:gridCol w:w="1526"/>
      </w:tblGrid>
      <w:tr w:rsidR="0071145B" w:rsidRPr="0071145B" w:rsidTr="0071145B">
        <w:trPr>
          <w:trHeight w:val="283"/>
        </w:trPr>
        <w:tc>
          <w:tcPr>
            <w:tcW w:w="0" w:type="auto"/>
            <w:gridSpan w:val="5"/>
          </w:tcPr>
          <w:p w:rsidR="00B90CCA" w:rsidRPr="0071145B" w:rsidRDefault="00B90CCA" w:rsidP="009E71E8">
            <w:pPr>
              <w:rPr>
                <w:rFonts w:ascii="Trebuchet MS" w:hAnsi="Trebuchet MS"/>
                <w:b/>
              </w:rPr>
            </w:pPr>
            <w:r w:rsidRPr="0071145B">
              <w:rPr>
                <w:rFonts w:ascii="Trebuchet MS" w:hAnsi="Trebuchet MS"/>
                <w:b/>
              </w:rPr>
              <w:t xml:space="preserve">Table 1 – </w:t>
            </w:r>
            <w:r w:rsidR="00614094">
              <w:rPr>
                <w:rFonts w:ascii="Trebuchet MS" w:hAnsi="Trebuchet MS"/>
                <w:b/>
              </w:rPr>
              <w:t>Kinetic rate constants for RNA aptamers binding Histone proteins</w:t>
            </w:r>
          </w:p>
        </w:tc>
      </w:tr>
      <w:tr w:rsidR="0071145B" w:rsidRPr="0071145B" w:rsidTr="0071145B">
        <w:trPr>
          <w:trHeight w:val="260"/>
        </w:trPr>
        <w:tc>
          <w:tcPr>
            <w:tcW w:w="0" w:type="auto"/>
          </w:tcPr>
          <w:p w:rsidR="00B90CCA" w:rsidRPr="0071145B" w:rsidRDefault="00B90CCA" w:rsidP="00B16095">
            <w:pPr>
              <w:rPr>
                <w:rFonts w:ascii="Trebuchet MS" w:hAnsi="Trebuchet MS"/>
                <w:b/>
              </w:rPr>
            </w:pPr>
            <w:r w:rsidRPr="0071145B">
              <w:rPr>
                <w:rFonts w:ascii="Trebuchet MS" w:hAnsi="Trebuchet MS"/>
                <w:b/>
              </w:rPr>
              <w:t>Analyte</w:t>
            </w:r>
          </w:p>
        </w:tc>
        <w:tc>
          <w:tcPr>
            <w:tcW w:w="0" w:type="auto"/>
          </w:tcPr>
          <w:p w:rsidR="00B90CCA" w:rsidRPr="0071145B" w:rsidRDefault="00B90CCA" w:rsidP="00B16095">
            <w:pPr>
              <w:rPr>
                <w:rFonts w:ascii="Trebuchet MS" w:hAnsi="Trebuchet MS"/>
                <w:b/>
              </w:rPr>
            </w:pPr>
            <w:r w:rsidRPr="0071145B">
              <w:rPr>
                <w:rFonts w:ascii="Trebuchet MS" w:hAnsi="Trebuchet MS"/>
                <w:b/>
              </w:rPr>
              <w:t>Ligand</w:t>
            </w:r>
          </w:p>
        </w:tc>
        <w:tc>
          <w:tcPr>
            <w:tcW w:w="0" w:type="auto"/>
          </w:tcPr>
          <w:p w:rsidR="00B90CCA" w:rsidRPr="0071145B" w:rsidRDefault="00B90CCA" w:rsidP="0071145B">
            <w:pPr>
              <w:jc w:val="center"/>
              <w:rPr>
                <w:rFonts w:ascii="Trebuchet MS" w:hAnsi="Trebuchet MS"/>
                <w:b/>
              </w:rPr>
            </w:pPr>
            <w:r w:rsidRPr="0071145B">
              <w:rPr>
                <w:rFonts w:ascii="Trebuchet MS" w:hAnsi="Trebuchet MS"/>
                <w:b/>
              </w:rPr>
              <w:t>k</w:t>
            </w:r>
            <w:r w:rsidRPr="0071145B">
              <w:rPr>
                <w:rFonts w:ascii="Trebuchet MS" w:hAnsi="Trebuchet MS"/>
                <w:b/>
                <w:i/>
                <w:vertAlign w:val="subscript"/>
              </w:rPr>
              <w:t>a</w:t>
            </w:r>
            <w:r w:rsidRPr="0071145B">
              <w:rPr>
                <w:rFonts w:ascii="Trebuchet MS" w:hAnsi="Trebuchet MS"/>
                <w:b/>
              </w:rPr>
              <w:t xml:space="preserve"> (M</w:t>
            </w:r>
            <w:r w:rsidRPr="0071145B">
              <w:rPr>
                <w:rFonts w:ascii="Trebuchet MS" w:hAnsi="Trebuchet MS"/>
                <w:b/>
                <w:vertAlign w:val="superscript"/>
              </w:rPr>
              <w:t>-1</w:t>
            </w:r>
            <w:r w:rsidRPr="0071145B">
              <w:rPr>
                <w:rFonts w:ascii="Trebuchet MS" w:hAnsi="Trebuchet MS"/>
                <w:b/>
              </w:rPr>
              <w:t>s</w:t>
            </w:r>
            <w:r w:rsidRPr="0071145B">
              <w:rPr>
                <w:rFonts w:ascii="Trebuchet MS" w:hAnsi="Trebuchet MS"/>
                <w:b/>
                <w:vertAlign w:val="superscript"/>
              </w:rPr>
              <w:t>-1</w:t>
            </w:r>
            <w:r w:rsidRPr="0071145B">
              <w:rPr>
                <w:rFonts w:ascii="Trebuchet MS" w:hAnsi="Trebuchet MS"/>
                <w:b/>
              </w:rPr>
              <w:t>)</w:t>
            </w:r>
          </w:p>
        </w:tc>
        <w:tc>
          <w:tcPr>
            <w:tcW w:w="2307" w:type="dxa"/>
          </w:tcPr>
          <w:p w:rsidR="00B90CCA" w:rsidRPr="0071145B" w:rsidRDefault="00836107" w:rsidP="0071145B">
            <w:pPr>
              <w:jc w:val="center"/>
              <w:rPr>
                <w:rFonts w:ascii="Trebuchet MS" w:hAnsi="Trebuchet MS"/>
                <w:b/>
              </w:rPr>
            </w:pPr>
            <w:proofErr w:type="spellStart"/>
            <w:r w:rsidRPr="0071145B">
              <w:rPr>
                <w:rFonts w:ascii="Trebuchet MS" w:hAnsi="Trebuchet MS"/>
                <w:b/>
              </w:rPr>
              <w:t>k</w:t>
            </w:r>
            <w:r w:rsidRPr="0071145B">
              <w:rPr>
                <w:rFonts w:ascii="Trebuchet MS" w:hAnsi="Trebuchet MS"/>
                <w:b/>
                <w:i/>
                <w:vertAlign w:val="subscript"/>
              </w:rPr>
              <w:t>d</w:t>
            </w:r>
            <w:proofErr w:type="spellEnd"/>
            <w:r w:rsidR="00B90CCA" w:rsidRPr="0071145B">
              <w:rPr>
                <w:rFonts w:ascii="Trebuchet MS" w:hAnsi="Trebuchet MS"/>
                <w:b/>
              </w:rPr>
              <w:t xml:space="preserve"> (s</w:t>
            </w:r>
            <w:r w:rsidR="00B90CCA" w:rsidRPr="0071145B">
              <w:rPr>
                <w:rFonts w:ascii="Trebuchet MS" w:hAnsi="Trebuchet MS"/>
                <w:b/>
                <w:vertAlign w:val="superscript"/>
              </w:rPr>
              <w:t>-1</w:t>
            </w:r>
            <w:r w:rsidR="00B90CCA" w:rsidRPr="0071145B">
              <w:rPr>
                <w:rFonts w:ascii="Trebuchet MS" w:hAnsi="Trebuchet MS"/>
                <w:b/>
              </w:rPr>
              <w:t>)</w:t>
            </w:r>
          </w:p>
        </w:tc>
        <w:tc>
          <w:tcPr>
            <w:tcW w:w="1526" w:type="dxa"/>
          </w:tcPr>
          <w:p w:rsidR="00B90CCA" w:rsidRPr="0071145B" w:rsidRDefault="00836107" w:rsidP="0071145B">
            <w:pPr>
              <w:jc w:val="center"/>
              <w:rPr>
                <w:rFonts w:ascii="Trebuchet MS" w:hAnsi="Trebuchet MS"/>
                <w:b/>
              </w:rPr>
            </w:pPr>
            <w:r w:rsidRPr="0071145B">
              <w:rPr>
                <w:rFonts w:ascii="Trebuchet MS" w:hAnsi="Trebuchet MS"/>
                <w:b/>
              </w:rPr>
              <w:t>K</w:t>
            </w:r>
            <w:r w:rsidRPr="0071145B">
              <w:rPr>
                <w:rFonts w:ascii="Trebuchet MS" w:hAnsi="Trebuchet MS"/>
                <w:b/>
                <w:i/>
                <w:vertAlign w:val="subscript"/>
              </w:rPr>
              <w:t>D</w:t>
            </w:r>
          </w:p>
        </w:tc>
      </w:tr>
      <w:tr w:rsidR="004A32B7" w:rsidRPr="0071145B" w:rsidTr="003E52DA">
        <w:trPr>
          <w:trHeight w:val="283"/>
        </w:trPr>
        <w:tc>
          <w:tcPr>
            <w:tcW w:w="0" w:type="auto"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KU5</w:t>
            </w:r>
          </w:p>
        </w:tc>
        <w:tc>
          <w:tcPr>
            <w:tcW w:w="0" w:type="auto"/>
            <w:vMerge w:val="restart"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Calf thymus Histone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1.18±0.02e6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7.83±0.04e-4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663±9pM</w:t>
            </w:r>
          </w:p>
        </w:tc>
      </w:tr>
      <w:tr w:rsidR="004A32B7" w:rsidRPr="0071145B" w:rsidTr="003E52DA">
        <w:trPr>
          <w:trHeight w:val="283"/>
        </w:trPr>
        <w:tc>
          <w:tcPr>
            <w:tcW w:w="0" w:type="auto"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KU7</w:t>
            </w:r>
          </w:p>
        </w:tc>
        <w:tc>
          <w:tcPr>
            <w:tcW w:w="0" w:type="auto"/>
            <w:vMerge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1.62±0.03e5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9.15±0.06e-4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5.6±0.1nM</w:t>
            </w:r>
          </w:p>
        </w:tc>
      </w:tr>
      <w:tr w:rsidR="004A32B7" w:rsidRPr="0071145B" w:rsidTr="003E52DA">
        <w:trPr>
          <w:trHeight w:val="283"/>
        </w:trPr>
        <w:tc>
          <w:tcPr>
            <w:tcW w:w="0" w:type="auto"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KU9</w:t>
            </w:r>
          </w:p>
        </w:tc>
        <w:tc>
          <w:tcPr>
            <w:tcW w:w="0" w:type="auto"/>
            <w:vMerge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9.2±0.1e5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1.111±0.009e-3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1.21±0.02nM</w:t>
            </w:r>
          </w:p>
        </w:tc>
      </w:tr>
      <w:tr w:rsidR="004A32B7" w:rsidRPr="0071145B" w:rsidTr="003E52DA">
        <w:trPr>
          <w:trHeight w:val="298"/>
        </w:trPr>
        <w:tc>
          <w:tcPr>
            <w:tcW w:w="0" w:type="auto"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NSC</w:t>
            </w:r>
          </w:p>
        </w:tc>
        <w:tc>
          <w:tcPr>
            <w:tcW w:w="0" w:type="auto"/>
            <w:vMerge/>
          </w:tcPr>
          <w:p w:rsidR="004A32B7" w:rsidRPr="0071145B" w:rsidRDefault="004A32B7" w:rsidP="0015027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7.6±0.1e5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1.94±0.02e-3</w:t>
            </w:r>
          </w:p>
        </w:tc>
        <w:tc>
          <w:tcPr>
            <w:tcW w:w="0" w:type="auto"/>
            <w:vAlign w:val="bottom"/>
          </w:tcPr>
          <w:p w:rsidR="004A32B7" w:rsidRPr="00150278" w:rsidRDefault="004A32B7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2.56±0.04nM</w:t>
            </w:r>
          </w:p>
        </w:tc>
      </w:tr>
      <w:tr w:rsidR="009828CA" w:rsidRPr="0071145B" w:rsidTr="003A106A">
        <w:trPr>
          <w:trHeight w:val="298"/>
        </w:trPr>
        <w:tc>
          <w:tcPr>
            <w:tcW w:w="0" w:type="auto"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KU5</w:t>
            </w:r>
          </w:p>
        </w:tc>
        <w:tc>
          <w:tcPr>
            <w:tcW w:w="0" w:type="auto"/>
            <w:vMerge w:val="restart"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H4 Histone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1.53±0.02e6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1.068±0.005e-3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698±8pM</w:t>
            </w:r>
          </w:p>
        </w:tc>
      </w:tr>
      <w:tr w:rsidR="009828CA" w:rsidRPr="0071145B" w:rsidTr="003A106A">
        <w:trPr>
          <w:trHeight w:val="298"/>
        </w:trPr>
        <w:tc>
          <w:tcPr>
            <w:tcW w:w="0" w:type="auto"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KU7</w:t>
            </w:r>
          </w:p>
        </w:tc>
        <w:tc>
          <w:tcPr>
            <w:tcW w:w="0" w:type="auto"/>
            <w:vMerge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5.62±0.05e5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2.25±0.01e-3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4.01±0.04nM</w:t>
            </w:r>
          </w:p>
        </w:tc>
      </w:tr>
      <w:tr w:rsidR="009828CA" w:rsidRPr="0071145B" w:rsidTr="003A106A">
        <w:trPr>
          <w:trHeight w:val="298"/>
        </w:trPr>
        <w:tc>
          <w:tcPr>
            <w:tcW w:w="0" w:type="auto"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KU9</w:t>
            </w:r>
          </w:p>
        </w:tc>
        <w:tc>
          <w:tcPr>
            <w:tcW w:w="0" w:type="auto"/>
            <w:vMerge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7.26±0.08e5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1.095±0.006e-3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1.51±0.02nM</w:t>
            </w:r>
          </w:p>
        </w:tc>
      </w:tr>
      <w:tr w:rsidR="009828CA" w:rsidRPr="0071145B" w:rsidTr="003A106A">
        <w:trPr>
          <w:trHeight w:val="298"/>
        </w:trPr>
        <w:tc>
          <w:tcPr>
            <w:tcW w:w="0" w:type="auto"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NSC</w:t>
            </w:r>
          </w:p>
        </w:tc>
        <w:tc>
          <w:tcPr>
            <w:tcW w:w="0" w:type="auto"/>
            <w:vMerge/>
          </w:tcPr>
          <w:p w:rsidR="009828CA" w:rsidRPr="0071145B" w:rsidRDefault="009828CA" w:rsidP="0015027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5.59±0.06e5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1.71±0.01e-3</w:t>
            </w:r>
          </w:p>
        </w:tc>
        <w:tc>
          <w:tcPr>
            <w:tcW w:w="0" w:type="auto"/>
            <w:vAlign w:val="bottom"/>
          </w:tcPr>
          <w:p w:rsidR="009828CA" w:rsidRPr="00150278" w:rsidRDefault="009828CA" w:rsidP="00150278">
            <w:pPr>
              <w:jc w:val="center"/>
              <w:rPr>
                <w:rFonts w:ascii="Trebuchet MS" w:hAnsi="Trebuchet MS"/>
                <w:color w:val="000000"/>
                <w:sz w:val="22"/>
                <w:szCs w:val="22"/>
              </w:rPr>
            </w:pPr>
            <w:r w:rsidRPr="00150278">
              <w:rPr>
                <w:rFonts w:ascii="Trebuchet MS" w:hAnsi="Trebuchet MS"/>
                <w:color w:val="000000"/>
                <w:sz w:val="22"/>
                <w:szCs w:val="22"/>
              </w:rPr>
              <w:t>3.06±0.04nM</w:t>
            </w:r>
          </w:p>
        </w:tc>
      </w:tr>
    </w:tbl>
    <w:p w:rsidR="004E6EF5" w:rsidRPr="000A7514" w:rsidRDefault="000A7514" w:rsidP="000A7514">
      <w:pPr>
        <w:jc w:val="center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Error values shown represent standard error from the model fit.</w:t>
      </w:r>
    </w:p>
    <w:p w:rsidR="00C2562F" w:rsidRDefault="00C2562F" w:rsidP="00B16095">
      <w:pPr>
        <w:rPr>
          <w:rFonts w:ascii="Trebuchet MS" w:hAnsi="Trebuchet MS"/>
        </w:rPr>
      </w:pPr>
    </w:p>
    <w:p w:rsidR="002B45F6" w:rsidRPr="00C2562F" w:rsidRDefault="002B45F6" w:rsidP="00B16095">
      <w:pPr>
        <w:rPr>
          <w:rFonts w:ascii="Trebuchet MS" w:hAnsi="Trebuchet MS"/>
        </w:rPr>
      </w:pPr>
    </w:p>
    <w:sectPr w:rsidR="002B45F6" w:rsidRPr="00C2562F" w:rsidSect="000D0DB9">
      <w:headerReference w:type="even" r:id="rId16"/>
      <w:headerReference w:type="default" r:id="rId17"/>
      <w:footerReference w:type="default" r:id="rId18"/>
      <w:headerReference w:type="first" r:id="rId19"/>
      <w:pgSz w:w="12240" w:h="15840" w:code="1"/>
      <w:pgMar w:top="252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637" w:rsidRDefault="00EC3637">
      <w:r>
        <w:separator/>
      </w:r>
    </w:p>
  </w:endnote>
  <w:endnote w:type="continuationSeparator" w:id="0">
    <w:p w:rsidR="00EC3637" w:rsidRDefault="00EC3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DB9" w:rsidRPr="000D0DB9" w:rsidRDefault="00D421A5">
    <w:pPr>
      <w:pStyle w:val="Footer"/>
      <w:rPr>
        <w:rFonts w:ascii="Trebuchet MS" w:hAnsi="Trebuchet MS"/>
      </w:rPr>
    </w:pPr>
    <w:r w:rsidRPr="000D0DB9">
      <w:rPr>
        <w:rFonts w:ascii="Trebuchet MS" w:hAnsi="Trebuchet MS"/>
      </w:rPr>
      <w:fldChar w:fldCharType="begin"/>
    </w:r>
    <w:r w:rsidR="000D0DB9" w:rsidRPr="000D0DB9">
      <w:rPr>
        <w:rFonts w:ascii="Trebuchet MS" w:hAnsi="Trebuchet MS"/>
      </w:rPr>
      <w:instrText xml:space="preserve"> PAGE   \* MERGEFORMAT </w:instrText>
    </w:r>
    <w:r w:rsidRPr="000D0DB9">
      <w:rPr>
        <w:rFonts w:ascii="Trebuchet MS" w:hAnsi="Trebuchet MS"/>
      </w:rPr>
      <w:fldChar w:fldCharType="separate"/>
    </w:r>
    <w:r w:rsidR="004F4434">
      <w:rPr>
        <w:rFonts w:ascii="Trebuchet MS" w:hAnsi="Trebuchet MS"/>
        <w:noProof/>
      </w:rPr>
      <w:t>1</w:t>
    </w:r>
    <w:r w:rsidRPr="000D0DB9">
      <w:rPr>
        <w:rFonts w:ascii="Trebuchet MS" w:hAnsi="Trebuchet MS"/>
      </w:rPr>
      <w:fldChar w:fldCharType="end"/>
    </w:r>
  </w:p>
  <w:p w:rsidR="000D0DB9" w:rsidRDefault="000D0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637" w:rsidRDefault="00EC3637">
      <w:r>
        <w:separator/>
      </w:r>
    </w:p>
  </w:footnote>
  <w:footnote w:type="continuationSeparator" w:id="0">
    <w:p w:rsidR="00EC3637" w:rsidRDefault="00EC3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A21" w:rsidRDefault="00EC363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74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Nomadics OK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A21" w:rsidRDefault="00143AA4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3892550</wp:posOffset>
          </wp:positionH>
          <wp:positionV relativeFrom="paragraph">
            <wp:posOffset>-342900</wp:posOffset>
          </wp:positionV>
          <wp:extent cx="3009900" cy="952500"/>
          <wp:effectExtent l="0" t="0" r="0" b="0"/>
          <wp:wrapNone/>
          <wp:docPr id="30" name="Picture 30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900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-970280</wp:posOffset>
          </wp:positionH>
          <wp:positionV relativeFrom="paragraph">
            <wp:posOffset>-594995</wp:posOffset>
          </wp:positionV>
          <wp:extent cx="7872730" cy="10198735"/>
          <wp:effectExtent l="0" t="0" r="0" b="0"/>
          <wp:wrapNone/>
          <wp:docPr id="28" name="Picture 28" descr="Nomadics continuation she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Nomadics continuation she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2730" cy="10198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A21" w:rsidRDefault="00143A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10500" cy="10115550"/>
          <wp:effectExtent l="0" t="0" r="0" b="0"/>
          <wp:wrapNone/>
          <wp:docPr id="29" name="Picture 29" descr="nomadics-BiG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nomadics-BiG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0" cy="10115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A4"/>
    <w:rsid w:val="00000496"/>
    <w:rsid w:val="0000077E"/>
    <w:rsid w:val="00010AD9"/>
    <w:rsid w:val="000202CD"/>
    <w:rsid w:val="000221E9"/>
    <w:rsid w:val="0002603E"/>
    <w:rsid w:val="000453EF"/>
    <w:rsid w:val="0005049B"/>
    <w:rsid w:val="000620AD"/>
    <w:rsid w:val="00066894"/>
    <w:rsid w:val="000832CB"/>
    <w:rsid w:val="000A0D52"/>
    <w:rsid w:val="000A7514"/>
    <w:rsid w:val="000B63CE"/>
    <w:rsid w:val="000C3379"/>
    <w:rsid w:val="000D0DB9"/>
    <w:rsid w:val="000D4024"/>
    <w:rsid w:val="00106E73"/>
    <w:rsid w:val="00111111"/>
    <w:rsid w:val="00132CF6"/>
    <w:rsid w:val="00140457"/>
    <w:rsid w:val="00143AA4"/>
    <w:rsid w:val="00150278"/>
    <w:rsid w:val="00152396"/>
    <w:rsid w:val="001617C5"/>
    <w:rsid w:val="0017061D"/>
    <w:rsid w:val="00185DBE"/>
    <w:rsid w:val="00196DD3"/>
    <w:rsid w:val="001A5F00"/>
    <w:rsid w:val="001B29B0"/>
    <w:rsid w:val="001B4782"/>
    <w:rsid w:val="001C7EB1"/>
    <w:rsid w:val="00200A72"/>
    <w:rsid w:val="002301F0"/>
    <w:rsid w:val="002302BD"/>
    <w:rsid w:val="00234B60"/>
    <w:rsid w:val="00255464"/>
    <w:rsid w:val="00266319"/>
    <w:rsid w:val="002734C9"/>
    <w:rsid w:val="00275EBB"/>
    <w:rsid w:val="002807E4"/>
    <w:rsid w:val="002830C8"/>
    <w:rsid w:val="002910D8"/>
    <w:rsid w:val="00294014"/>
    <w:rsid w:val="002B0AE8"/>
    <w:rsid w:val="002B45F6"/>
    <w:rsid w:val="002C732E"/>
    <w:rsid w:val="002D2464"/>
    <w:rsid w:val="002E01D2"/>
    <w:rsid w:val="002F7C8B"/>
    <w:rsid w:val="00330CBB"/>
    <w:rsid w:val="00344BBA"/>
    <w:rsid w:val="003A584D"/>
    <w:rsid w:val="003D3F14"/>
    <w:rsid w:val="003E07A4"/>
    <w:rsid w:val="003F1ACB"/>
    <w:rsid w:val="0041201C"/>
    <w:rsid w:val="00430437"/>
    <w:rsid w:val="0044198B"/>
    <w:rsid w:val="0045389A"/>
    <w:rsid w:val="004573B7"/>
    <w:rsid w:val="00462A45"/>
    <w:rsid w:val="00463F60"/>
    <w:rsid w:val="004730EA"/>
    <w:rsid w:val="004A32B7"/>
    <w:rsid w:val="004D218A"/>
    <w:rsid w:val="004E6EF5"/>
    <w:rsid w:val="004E75A0"/>
    <w:rsid w:val="004F02D6"/>
    <w:rsid w:val="004F4434"/>
    <w:rsid w:val="004F6F18"/>
    <w:rsid w:val="004F756B"/>
    <w:rsid w:val="00517801"/>
    <w:rsid w:val="00537A37"/>
    <w:rsid w:val="00547BE7"/>
    <w:rsid w:val="00564E1A"/>
    <w:rsid w:val="00567BC7"/>
    <w:rsid w:val="005856DD"/>
    <w:rsid w:val="00594036"/>
    <w:rsid w:val="005B0FD7"/>
    <w:rsid w:val="005C5A08"/>
    <w:rsid w:val="005D1A83"/>
    <w:rsid w:val="005E1289"/>
    <w:rsid w:val="005E5D8A"/>
    <w:rsid w:val="005F0DD6"/>
    <w:rsid w:val="00605AA4"/>
    <w:rsid w:val="00613F41"/>
    <w:rsid w:val="00614094"/>
    <w:rsid w:val="00627694"/>
    <w:rsid w:val="00641E8F"/>
    <w:rsid w:val="0064234F"/>
    <w:rsid w:val="00647CF7"/>
    <w:rsid w:val="00653E75"/>
    <w:rsid w:val="00670409"/>
    <w:rsid w:val="006B022C"/>
    <w:rsid w:val="006F3643"/>
    <w:rsid w:val="006F5186"/>
    <w:rsid w:val="00700F96"/>
    <w:rsid w:val="0071145B"/>
    <w:rsid w:val="0072628C"/>
    <w:rsid w:val="00742056"/>
    <w:rsid w:val="00742FE3"/>
    <w:rsid w:val="0074716E"/>
    <w:rsid w:val="00753245"/>
    <w:rsid w:val="007663DC"/>
    <w:rsid w:val="00787DEA"/>
    <w:rsid w:val="0079734F"/>
    <w:rsid w:val="007F7007"/>
    <w:rsid w:val="00802CEE"/>
    <w:rsid w:val="00820F0D"/>
    <w:rsid w:val="00831E2D"/>
    <w:rsid w:val="00836107"/>
    <w:rsid w:val="00850AFB"/>
    <w:rsid w:val="00894E4C"/>
    <w:rsid w:val="008A497F"/>
    <w:rsid w:val="008B57FC"/>
    <w:rsid w:val="008C165E"/>
    <w:rsid w:val="008C5BD9"/>
    <w:rsid w:val="008D0035"/>
    <w:rsid w:val="008D1F0B"/>
    <w:rsid w:val="008E6540"/>
    <w:rsid w:val="008F6AB7"/>
    <w:rsid w:val="009117DE"/>
    <w:rsid w:val="00952C56"/>
    <w:rsid w:val="009561BB"/>
    <w:rsid w:val="009828CA"/>
    <w:rsid w:val="00991C7B"/>
    <w:rsid w:val="009D2350"/>
    <w:rsid w:val="009E4E1A"/>
    <w:rsid w:val="009E68D1"/>
    <w:rsid w:val="009E71E8"/>
    <w:rsid w:val="00A0256B"/>
    <w:rsid w:val="00A068D5"/>
    <w:rsid w:val="00A16811"/>
    <w:rsid w:val="00A348A1"/>
    <w:rsid w:val="00A36121"/>
    <w:rsid w:val="00A44490"/>
    <w:rsid w:val="00A47DDF"/>
    <w:rsid w:val="00A544E4"/>
    <w:rsid w:val="00A57191"/>
    <w:rsid w:val="00A62508"/>
    <w:rsid w:val="00A645CF"/>
    <w:rsid w:val="00A8367B"/>
    <w:rsid w:val="00A8656B"/>
    <w:rsid w:val="00A9563C"/>
    <w:rsid w:val="00AA1716"/>
    <w:rsid w:val="00AA30C0"/>
    <w:rsid w:val="00AC58C0"/>
    <w:rsid w:val="00AF4A21"/>
    <w:rsid w:val="00AF6C9D"/>
    <w:rsid w:val="00B16095"/>
    <w:rsid w:val="00B600E7"/>
    <w:rsid w:val="00B60ECB"/>
    <w:rsid w:val="00B72366"/>
    <w:rsid w:val="00B740B6"/>
    <w:rsid w:val="00B770AC"/>
    <w:rsid w:val="00B80A6C"/>
    <w:rsid w:val="00B8502F"/>
    <w:rsid w:val="00B90CCA"/>
    <w:rsid w:val="00B943CB"/>
    <w:rsid w:val="00B9686E"/>
    <w:rsid w:val="00BA2BBD"/>
    <w:rsid w:val="00BA46F8"/>
    <w:rsid w:val="00BA52AB"/>
    <w:rsid w:val="00BA67FF"/>
    <w:rsid w:val="00BB0BB9"/>
    <w:rsid w:val="00BB1D7B"/>
    <w:rsid w:val="00BB54B6"/>
    <w:rsid w:val="00BC41CA"/>
    <w:rsid w:val="00BD42A1"/>
    <w:rsid w:val="00BF36C2"/>
    <w:rsid w:val="00BF3C3C"/>
    <w:rsid w:val="00C10B3F"/>
    <w:rsid w:val="00C16AF9"/>
    <w:rsid w:val="00C253C3"/>
    <w:rsid w:val="00C2562F"/>
    <w:rsid w:val="00C420B9"/>
    <w:rsid w:val="00C42AB1"/>
    <w:rsid w:val="00C46B28"/>
    <w:rsid w:val="00C51016"/>
    <w:rsid w:val="00C66B5E"/>
    <w:rsid w:val="00C75055"/>
    <w:rsid w:val="00C957D9"/>
    <w:rsid w:val="00CC2817"/>
    <w:rsid w:val="00CC2B7B"/>
    <w:rsid w:val="00CF0742"/>
    <w:rsid w:val="00CF1AD6"/>
    <w:rsid w:val="00D00762"/>
    <w:rsid w:val="00D13F91"/>
    <w:rsid w:val="00D158D6"/>
    <w:rsid w:val="00D24C7C"/>
    <w:rsid w:val="00D4034F"/>
    <w:rsid w:val="00D421A5"/>
    <w:rsid w:val="00D525F9"/>
    <w:rsid w:val="00D86B01"/>
    <w:rsid w:val="00D878FA"/>
    <w:rsid w:val="00DB2322"/>
    <w:rsid w:val="00DB542F"/>
    <w:rsid w:val="00DD26C6"/>
    <w:rsid w:val="00DD723C"/>
    <w:rsid w:val="00E1505F"/>
    <w:rsid w:val="00E3312D"/>
    <w:rsid w:val="00E34D6E"/>
    <w:rsid w:val="00E5657F"/>
    <w:rsid w:val="00E63DA4"/>
    <w:rsid w:val="00E675D7"/>
    <w:rsid w:val="00E842B5"/>
    <w:rsid w:val="00E85783"/>
    <w:rsid w:val="00E954A8"/>
    <w:rsid w:val="00EB04A8"/>
    <w:rsid w:val="00EB0F07"/>
    <w:rsid w:val="00EB253A"/>
    <w:rsid w:val="00EB7496"/>
    <w:rsid w:val="00EC3637"/>
    <w:rsid w:val="00EF2F31"/>
    <w:rsid w:val="00F32954"/>
    <w:rsid w:val="00F53A4D"/>
    <w:rsid w:val="00F57846"/>
    <w:rsid w:val="00F70D7F"/>
    <w:rsid w:val="00FA7B62"/>
    <w:rsid w:val="00FA7FEF"/>
    <w:rsid w:val="00FD1021"/>
    <w:rsid w:val="00FE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5"/>
    <o:shapelayout v:ext="edit">
      <o:idmap v:ext="edit" data="1"/>
    </o:shapelayout>
  </w:shapeDefaults>
  <w:decimalSymbol w:val="."/>
  <w:listSeparator w:val=","/>
  <w15:docId w15:val="{B6CFB3B9-141E-4C7C-835D-D5D5B446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A6250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25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62508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A62508"/>
    <w:pPr>
      <w:spacing w:before="100" w:beforeAutospacing="1" w:after="100" w:afterAutospacing="1"/>
    </w:pPr>
  </w:style>
  <w:style w:type="character" w:customStyle="1" w:styleId="FooterChar">
    <w:name w:val="Footer Char"/>
    <w:basedOn w:val="DefaultParagraphFont"/>
    <w:link w:val="Footer"/>
    <w:uiPriority w:val="99"/>
    <w:rsid w:val="000D0DB9"/>
    <w:rPr>
      <w:sz w:val="24"/>
      <w:szCs w:val="24"/>
    </w:rPr>
  </w:style>
  <w:style w:type="table" w:styleId="TableGrid">
    <w:name w:val="Table Grid"/>
    <w:basedOn w:val="TableNormal"/>
    <w:rsid w:val="00B90CC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nhideWhenUsed/>
    <w:qFormat/>
    <w:rsid w:val="00670409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ron.martin\AppData\Roaming\Microsoft\Templates\Provisional%20Project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Provisional Project Report</Template>
  <TotalTime>0</TotalTime>
  <Pages>4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Nomadics, Inc.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Martin</dc:creator>
  <cp:keywords/>
  <dc:description/>
  <cp:lastModifiedBy>Kevin Urak</cp:lastModifiedBy>
  <cp:revision>2</cp:revision>
  <cp:lastPrinted>2006-03-28T23:32:00Z</cp:lastPrinted>
  <dcterms:created xsi:type="dcterms:W3CDTF">2017-06-17T15:29:00Z</dcterms:created>
  <dcterms:modified xsi:type="dcterms:W3CDTF">2017-06-17T15:29:00Z</dcterms:modified>
</cp:coreProperties>
</file>