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sz w:val="24"/>
          <w:szCs w:val="24"/>
          <w:rtl w:val="0"/>
        </w:rPr>
        <w:t xml:space="preserve">: develop a potentiometric biosensor platform for extracellular histone detection whose performance is enhanced through Deep Learning techniques.</w:t>
      </w:r>
    </w:p>
    <w:p w:rsidR="00000000" w:rsidDel="00000000" w:rsidP="00000000" w:rsidRDefault="00000000" w:rsidRPr="00000000" w14:paraId="0000000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Experiments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pageBreakBefore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Surface plasmon resonance (SPR) </w:t>
      </w:r>
    </w:p>
    <w:p w:rsidR="00000000" w:rsidDel="00000000" w:rsidP="00000000" w:rsidRDefault="00000000" w:rsidRPr="00000000" w14:paraId="00000004">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Materials: Aptamer (KU7), 6-mercaptohexanol (MCH), Calf thymus histone (CTH), human histones (H3.2 and H4), HBS-EP+ buffer (0.1 M HEPES, 1.5 M NaCl, 0.03 M EDTA and 0.5% v/v Surfactant P20)</w:t>
      </w:r>
    </w:p>
    <w:p w:rsidR="00000000" w:rsidDel="00000000" w:rsidP="00000000" w:rsidRDefault="00000000" w:rsidRPr="00000000" w14:paraId="00000005">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Validate the binding between the purchased aptamer and histones. Compare measured association and dissociation rate constants (ka and kd) with published values. </w:t>
      </w:r>
    </w:p>
    <w:tbl>
      <w:tblPr>
        <w:tblStyle w:val="Table1"/>
        <w:tblW w:w="8010.0" w:type="dxa"/>
        <w:jc w:val="left"/>
        <w:tblInd w:w="602.0" w:type="dxa"/>
        <w:tblLayout w:type="fixed"/>
        <w:tblLook w:val="0400"/>
      </w:tblPr>
      <w:tblGrid>
        <w:gridCol w:w="1170"/>
        <w:gridCol w:w="1680"/>
        <w:gridCol w:w="1780"/>
        <w:gridCol w:w="1700"/>
        <w:gridCol w:w="1680"/>
        <w:tblGridChange w:id="0">
          <w:tblGrid>
            <w:gridCol w:w="1170"/>
            <w:gridCol w:w="1680"/>
            <w:gridCol w:w="1780"/>
            <w:gridCol w:w="1700"/>
            <w:gridCol w:w="1680"/>
          </w:tblGrid>
        </w:tblGridChange>
      </w:tblGrid>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006">
            <w:pPr>
              <w:pageBreakBefore w:val="0"/>
              <w:spacing w:after="0" w:line="240" w:lineRule="auto"/>
              <w:rPr>
                <w:rFonts w:ascii="Arial" w:cs="Arial" w:eastAsia="Arial" w:hAnsi="Arial"/>
              </w:rPr>
            </w:pPr>
            <w:r w:rsidDel="00000000" w:rsidR="00000000" w:rsidRPr="00000000">
              <w:rPr>
                <w:rFonts w:ascii="Arial" w:cs="Arial" w:eastAsia="Arial" w:hAnsi="Arial"/>
                <w:b w:val="1"/>
                <w:color w:val="000000"/>
                <w:rtl w:val="0"/>
              </w:rPr>
              <w:t xml:space="preserve">Analyte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007">
            <w:pPr>
              <w:pageBreakBefore w:val="0"/>
              <w:spacing w:after="0" w:line="240" w:lineRule="auto"/>
              <w:jc w:val="center"/>
              <w:rPr>
                <w:rFonts w:ascii="Arial" w:cs="Arial" w:eastAsia="Arial" w:hAnsi="Arial"/>
              </w:rPr>
            </w:pPr>
            <w:r w:rsidDel="00000000" w:rsidR="00000000" w:rsidRPr="00000000">
              <w:rPr>
                <w:rFonts w:ascii="Arial" w:cs="Arial" w:eastAsia="Arial" w:hAnsi="Arial"/>
                <w:b w:val="1"/>
                <w:color w:val="000000"/>
                <w:rtl w:val="0"/>
              </w:rPr>
              <w:t xml:space="preserve">Ligand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008">
            <w:pPr>
              <w:pageBreakBefore w:val="0"/>
              <w:spacing w:after="0" w:line="240" w:lineRule="auto"/>
              <w:jc w:val="center"/>
              <w:rPr>
                <w:rFonts w:ascii="Arial" w:cs="Arial" w:eastAsia="Arial" w:hAnsi="Arial"/>
              </w:rPr>
            </w:pPr>
            <w:r w:rsidDel="00000000" w:rsidR="00000000" w:rsidRPr="00000000">
              <w:rPr>
                <w:rFonts w:ascii="Arial" w:cs="Arial" w:eastAsia="Arial" w:hAnsi="Arial"/>
                <w:b w:val="1"/>
                <w:color w:val="000000"/>
                <w:rtl w:val="0"/>
              </w:rPr>
              <w:t xml:space="preserve">k</w:t>
            </w:r>
            <w:r w:rsidDel="00000000" w:rsidR="00000000" w:rsidRPr="00000000">
              <w:rPr>
                <w:rFonts w:ascii="Arial" w:cs="Arial" w:eastAsia="Arial" w:hAnsi="Arial"/>
                <w:b w:val="1"/>
                <w:color w:val="000000"/>
                <w:vertAlign w:val="subscript"/>
                <w:rtl w:val="0"/>
              </w:rPr>
              <w:t xml:space="preserve">a</w:t>
            </w:r>
            <w:r w:rsidDel="00000000" w:rsidR="00000000" w:rsidRPr="00000000">
              <w:rPr>
                <w:rFonts w:ascii="Arial" w:cs="Arial" w:eastAsia="Arial" w:hAnsi="Arial"/>
                <w:b w:val="1"/>
                <w:color w:val="000000"/>
                <w:rtl w:val="0"/>
              </w:rPr>
              <w:t xml:space="preserve"> (M</w:t>
            </w:r>
            <w:r w:rsidDel="00000000" w:rsidR="00000000" w:rsidRPr="00000000">
              <w:rPr>
                <w:rFonts w:ascii="Arial" w:cs="Arial" w:eastAsia="Arial" w:hAnsi="Arial"/>
                <w:b w:val="1"/>
                <w:color w:val="000000"/>
                <w:vertAlign w:val="superscript"/>
                <w:rtl w:val="0"/>
              </w:rPr>
              <w:t xml:space="preserve">-1</w:t>
            </w:r>
            <w:r w:rsidDel="00000000" w:rsidR="00000000" w:rsidRPr="00000000">
              <w:rPr>
                <w:rFonts w:ascii="Arial" w:cs="Arial" w:eastAsia="Arial" w:hAnsi="Arial"/>
                <w:b w:val="1"/>
                <w:color w:val="000000"/>
                <w:rtl w:val="0"/>
              </w:rPr>
              <w:t xml:space="preserve">s</w:t>
            </w:r>
            <w:r w:rsidDel="00000000" w:rsidR="00000000" w:rsidRPr="00000000">
              <w:rPr>
                <w:rFonts w:ascii="Arial" w:cs="Arial" w:eastAsia="Arial" w:hAnsi="Arial"/>
                <w:b w:val="1"/>
                <w:color w:val="000000"/>
                <w:vertAlign w:val="superscript"/>
                <w:rtl w:val="0"/>
              </w:rPr>
              <w:t xml:space="preserve">-1</w:t>
            </w:r>
            <w:r w:rsidDel="00000000" w:rsidR="00000000" w:rsidRPr="00000000">
              <w:rPr>
                <w:rFonts w:ascii="Arial" w:cs="Arial" w:eastAsia="Arial" w:hAnsi="Arial"/>
                <w:b w:val="1"/>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009">
            <w:pPr>
              <w:pageBreakBefore w:val="0"/>
              <w:spacing w:after="0" w:line="240" w:lineRule="auto"/>
              <w:jc w:val="center"/>
              <w:rPr>
                <w:rFonts w:ascii="Arial" w:cs="Arial" w:eastAsia="Arial" w:hAnsi="Arial"/>
              </w:rPr>
            </w:pPr>
            <w:r w:rsidDel="00000000" w:rsidR="00000000" w:rsidRPr="00000000">
              <w:rPr>
                <w:rFonts w:ascii="Arial" w:cs="Arial" w:eastAsia="Arial" w:hAnsi="Arial"/>
                <w:b w:val="1"/>
                <w:color w:val="000000"/>
                <w:rtl w:val="0"/>
              </w:rPr>
              <w:t xml:space="preserve">k</w:t>
            </w:r>
            <w:r w:rsidDel="00000000" w:rsidR="00000000" w:rsidRPr="00000000">
              <w:rPr>
                <w:rFonts w:ascii="Arial" w:cs="Arial" w:eastAsia="Arial" w:hAnsi="Arial"/>
                <w:b w:val="1"/>
                <w:color w:val="000000"/>
                <w:vertAlign w:val="subscript"/>
                <w:rtl w:val="0"/>
              </w:rPr>
              <w:t xml:space="preserve">d</w:t>
            </w:r>
            <w:r w:rsidDel="00000000" w:rsidR="00000000" w:rsidRPr="00000000">
              <w:rPr>
                <w:rFonts w:ascii="Arial" w:cs="Arial" w:eastAsia="Arial" w:hAnsi="Arial"/>
                <w:b w:val="1"/>
                <w:color w:val="000000"/>
                <w:rtl w:val="0"/>
              </w:rPr>
              <w:t xml:space="preserve"> (s</w:t>
            </w:r>
            <w:r w:rsidDel="00000000" w:rsidR="00000000" w:rsidRPr="00000000">
              <w:rPr>
                <w:rFonts w:ascii="Arial" w:cs="Arial" w:eastAsia="Arial" w:hAnsi="Arial"/>
                <w:b w:val="1"/>
                <w:color w:val="000000"/>
                <w:vertAlign w:val="superscript"/>
                <w:rtl w:val="0"/>
              </w:rPr>
              <w:t xml:space="preserve">-1</w:t>
            </w:r>
            <w:r w:rsidDel="00000000" w:rsidR="00000000" w:rsidRPr="00000000">
              <w:rPr>
                <w:rFonts w:ascii="Arial" w:cs="Arial" w:eastAsia="Arial" w:hAnsi="Arial"/>
                <w:b w:val="1"/>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00A">
            <w:pPr>
              <w:pageBreakBefore w:val="0"/>
              <w:spacing w:after="0" w:line="240" w:lineRule="auto"/>
              <w:jc w:val="center"/>
              <w:rPr>
                <w:rFonts w:ascii="Arial" w:cs="Arial" w:eastAsia="Arial" w:hAnsi="Arial"/>
              </w:rPr>
            </w:pPr>
            <w:r w:rsidDel="00000000" w:rsidR="00000000" w:rsidRPr="00000000">
              <w:rPr>
                <w:rFonts w:ascii="Arial" w:cs="Arial" w:eastAsia="Arial" w:hAnsi="Arial"/>
                <w:b w:val="1"/>
                <w:color w:val="000000"/>
                <w:rtl w:val="0"/>
              </w:rPr>
              <w:t xml:space="preserve">K</w:t>
            </w:r>
            <w:r w:rsidDel="00000000" w:rsidR="00000000" w:rsidRPr="00000000">
              <w:rPr>
                <w:rFonts w:ascii="Arial" w:cs="Arial" w:eastAsia="Arial" w:hAnsi="Arial"/>
                <w:b w:val="1"/>
                <w:color w:val="000000"/>
                <w:vertAlign w:val="subscript"/>
                <w:rtl w:val="0"/>
              </w:rPr>
              <w:t xml:space="preserve">D</w:t>
            </w:r>
            <w:r w:rsidDel="00000000" w:rsidR="00000000" w:rsidRPr="00000000">
              <w:rPr>
                <w:rtl w:val="0"/>
              </w:rPr>
            </w:r>
          </w:p>
        </w:tc>
      </w:tr>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00B">
            <w:pPr>
              <w:pageBreakBefore w:val="0"/>
              <w:spacing w:after="0" w:line="240" w:lineRule="auto"/>
              <w:rPr>
                <w:rFonts w:ascii="Arial" w:cs="Arial" w:eastAsia="Arial" w:hAnsi="Arial"/>
              </w:rPr>
            </w:pPr>
            <w:r w:rsidDel="00000000" w:rsidR="00000000" w:rsidRPr="00000000">
              <w:rPr>
                <w:rFonts w:ascii="Arial" w:cs="Arial" w:eastAsia="Arial" w:hAnsi="Arial"/>
                <w:color w:val="000000"/>
                <w:rtl w:val="0"/>
              </w:rPr>
              <w:t xml:space="preserve">KU7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00C">
            <w:pPr>
              <w:pageBreakBefore w:val="0"/>
              <w:spacing w:after="0" w:line="240" w:lineRule="auto"/>
              <w:jc w:val="center"/>
              <w:rPr>
                <w:rFonts w:ascii="Arial" w:cs="Arial" w:eastAsia="Arial" w:hAnsi="Arial"/>
              </w:rPr>
            </w:pPr>
            <w:r w:rsidDel="00000000" w:rsidR="00000000" w:rsidRPr="00000000">
              <w:rPr>
                <w:rFonts w:ascii="Arial" w:cs="Arial" w:eastAsia="Arial" w:hAnsi="Arial"/>
                <w:color w:val="000000"/>
                <w:rtl w:val="0"/>
              </w:rPr>
              <w:t xml:space="preserve">CTH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vAlign w:val="bottom"/>
          </w:tcPr>
          <w:p w:rsidR="00000000" w:rsidDel="00000000" w:rsidP="00000000" w:rsidRDefault="00000000" w:rsidRPr="00000000" w14:paraId="0000000D">
            <w:pPr>
              <w:pageBreakBefore w:val="0"/>
              <w:spacing w:after="0" w:line="240" w:lineRule="auto"/>
              <w:jc w:val="center"/>
              <w:rPr>
                <w:rFonts w:ascii="Arial" w:cs="Arial" w:eastAsia="Arial" w:hAnsi="Arial"/>
              </w:rPr>
            </w:pPr>
            <w:r w:rsidDel="00000000" w:rsidR="00000000" w:rsidRPr="00000000">
              <w:rPr>
                <w:rFonts w:ascii="Arial" w:cs="Arial" w:eastAsia="Arial" w:hAnsi="Arial"/>
                <w:color w:val="000000"/>
                <w:rtl w:val="0"/>
              </w:rPr>
              <w:t xml:space="preserve">1.62±0.03e5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vAlign w:val="bottom"/>
          </w:tcPr>
          <w:p w:rsidR="00000000" w:rsidDel="00000000" w:rsidP="00000000" w:rsidRDefault="00000000" w:rsidRPr="00000000" w14:paraId="0000000E">
            <w:pPr>
              <w:pageBreakBefore w:val="0"/>
              <w:spacing w:after="0" w:line="240" w:lineRule="auto"/>
              <w:jc w:val="center"/>
              <w:rPr>
                <w:rFonts w:ascii="Arial" w:cs="Arial" w:eastAsia="Arial" w:hAnsi="Arial"/>
              </w:rPr>
            </w:pPr>
            <w:r w:rsidDel="00000000" w:rsidR="00000000" w:rsidRPr="00000000">
              <w:rPr>
                <w:rFonts w:ascii="Arial" w:cs="Arial" w:eastAsia="Arial" w:hAnsi="Arial"/>
                <w:color w:val="000000"/>
                <w:rtl w:val="0"/>
              </w:rPr>
              <w:t xml:space="preserve">9.15±0.06e-4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vAlign w:val="bottom"/>
          </w:tcPr>
          <w:p w:rsidR="00000000" w:rsidDel="00000000" w:rsidP="00000000" w:rsidRDefault="00000000" w:rsidRPr="00000000" w14:paraId="0000000F">
            <w:pPr>
              <w:pageBreakBefore w:val="0"/>
              <w:spacing w:after="0" w:line="240" w:lineRule="auto"/>
              <w:jc w:val="center"/>
              <w:rPr>
                <w:rFonts w:ascii="Arial" w:cs="Arial" w:eastAsia="Arial" w:hAnsi="Arial"/>
              </w:rPr>
            </w:pPr>
            <w:r w:rsidDel="00000000" w:rsidR="00000000" w:rsidRPr="00000000">
              <w:rPr>
                <w:rFonts w:ascii="Arial" w:cs="Arial" w:eastAsia="Arial" w:hAnsi="Arial"/>
                <w:color w:val="000000"/>
                <w:rtl w:val="0"/>
              </w:rPr>
              <w:t xml:space="preserve">5.6±0.1nM</w:t>
            </w:r>
            <w:r w:rsidDel="00000000" w:rsidR="00000000" w:rsidRPr="00000000">
              <w:rPr>
                <w:rtl w:val="0"/>
              </w:rPr>
            </w:r>
          </w:p>
        </w:tc>
      </w:tr>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010">
            <w:pPr>
              <w:pageBreakBefore w:val="0"/>
              <w:spacing w:after="0" w:line="240" w:lineRule="auto"/>
              <w:rPr>
                <w:rFonts w:ascii="Arial" w:cs="Arial" w:eastAsia="Arial" w:hAnsi="Arial"/>
              </w:rPr>
            </w:pPr>
            <w:r w:rsidDel="00000000" w:rsidR="00000000" w:rsidRPr="00000000">
              <w:rPr>
                <w:rFonts w:ascii="Arial" w:cs="Arial" w:eastAsia="Arial" w:hAnsi="Arial"/>
                <w:color w:val="000000"/>
                <w:rtl w:val="0"/>
              </w:rPr>
              <w:t xml:space="preserve">KU7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vAlign w:val="bottom"/>
          </w:tcPr>
          <w:p w:rsidR="00000000" w:rsidDel="00000000" w:rsidP="00000000" w:rsidRDefault="00000000" w:rsidRPr="00000000" w14:paraId="00000011">
            <w:pPr>
              <w:pageBreakBefore w:val="0"/>
              <w:spacing w:after="0" w:line="240" w:lineRule="auto"/>
              <w:jc w:val="center"/>
              <w:rPr>
                <w:rFonts w:ascii="Arial" w:cs="Arial" w:eastAsia="Arial" w:hAnsi="Arial"/>
              </w:rPr>
            </w:pPr>
            <w:r w:rsidDel="00000000" w:rsidR="00000000" w:rsidRPr="00000000">
              <w:rPr>
                <w:rFonts w:ascii="Arial" w:cs="Arial" w:eastAsia="Arial" w:hAnsi="Arial"/>
                <w:color w:val="000000"/>
                <w:rtl w:val="0"/>
              </w:rPr>
              <w:t xml:space="preserve">H4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vAlign w:val="bottom"/>
          </w:tcPr>
          <w:p w:rsidR="00000000" w:rsidDel="00000000" w:rsidP="00000000" w:rsidRDefault="00000000" w:rsidRPr="00000000" w14:paraId="00000012">
            <w:pPr>
              <w:pageBreakBefore w:val="0"/>
              <w:spacing w:after="0" w:line="240" w:lineRule="auto"/>
              <w:jc w:val="center"/>
              <w:rPr>
                <w:rFonts w:ascii="Arial" w:cs="Arial" w:eastAsia="Arial" w:hAnsi="Arial"/>
              </w:rPr>
            </w:pPr>
            <w:r w:rsidDel="00000000" w:rsidR="00000000" w:rsidRPr="00000000">
              <w:rPr>
                <w:rFonts w:ascii="Arial" w:cs="Arial" w:eastAsia="Arial" w:hAnsi="Arial"/>
                <w:color w:val="000000"/>
                <w:rtl w:val="0"/>
              </w:rPr>
              <w:t xml:space="preserve">5.62±0.05e5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vAlign w:val="bottom"/>
          </w:tcPr>
          <w:p w:rsidR="00000000" w:rsidDel="00000000" w:rsidP="00000000" w:rsidRDefault="00000000" w:rsidRPr="00000000" w14:paraId="00000013">
            <w:pPr>
              <w:pageBreakBefore w:val="0"/>
              <w:spacing w:after="0" w:line="240" w:lineRule="auto"/>
              <w:jc w:val="center"/>
              <w:rPr>
                <w:rFonts w:ascii="Arial" w:cs="Arial" w:eastAsia="Arial" w:hAnsi="Arial"/>
              </w:rPr>
            </w:pPr>
            <w:r w:rsidDel="00000000" w:rsidR="00000000" w:rsidRPr="00000000">
              <w:rPr>
                <w:rFonts w:ascii="Arial" w:cs="Arial" w:eastAsia="Arial" w:hAnsi="Arial"/>
                <w:color w:val="000000"/>
                <w:rtl w:val="0"/>
              </w:rPr>
              <w:t xml:space="preserve">2.25±0.01e-3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vAlign w:val="bottom"/>
          </w:tcPr>
          <w:p w:rsidR="00000000" w:rsidDel="00000000" w:rsidP="00000000" w:rsidRDefault="00000000" w:rsidRPr="00000000" w14:paraId="00000014">
            <w:pPr>
              <w:pageBreakBefore w:val="0"/>
              <w:spacing w:after="0" w:line="240" w:lineRule="auto"/>
              <w:jc w:val="center"/>
              <w:rPr>
                <w:rFonts w:ascii="Arial" w:cs="Arial" w:eastAsia="Arial" w:hAnsi="Arial"/>
              </w:rPr>
            </w:pPr>
            <w:r w:rsidDel="00000000" w:rsidR="00000000" w:rsidRPr="00000000">
              <w:rPr>
                <w:rFonts w:ascii="Arial" w:cs="Arial" w:eastAsia="Arial" w:hAnsi="Arial"/>
                <w:color w:val="000000"/>
                <w:rtl w:val="0"/>
              </w:rPr>
              <w:t xml:space="preserve">4.01±0.04nM</w:t>
            </w:r>
            <w:r w:rsidDel="00000000" w:rsidR="00000000" w:rsidRPr="00000000">
              <w:rPr>
                <w:rtl w:val="0"/>
              </w:rPr>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work used the histone as the immobilized ligand and the aptamer as the analyte in solution. We are looking to create the reverse system.</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Source: K. T. Urak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“RNA inhibitors of nuclear proteins responsible for multiple organ dysfunction syndrome,”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Nature Communications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10, no. 1, p. 116, Jan. 2019, doi: </w:t>
      </w:r>
      <w:hyperlink r:id="rId6">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10.1038/s41467-018-08030-y</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CTH</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 October 5-8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2020</w:t>
      </w:r>
    </w:p>
    <w:p w:rsidR="00000000" w:rsidDel="00000000" w:rsidP="00000000" w:rsidRDefault="00000000" w:rsidRPr="00000000" w14:paraId="0000001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name when received: 201008_851bew075</w:t>
      </w:r>
    </w:p>
    <w:p w:rsidR="00000000" w:rsidDel="00000000" w:rsidP="00000000" w:rsidRDefault="00000000" w:rsidRPr="00000000" w14:paraId="0000001D">
      <w:pPr>
        <w:pageBreakBefore w:val="0"/>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Human Histones</w:t>
      </w:r>
    </w:p>
    <w:p w:rsidR="00000000" w:rsidDel="00000000" w:rsidP="00000000" w:rsidRDefault="00000000" w:rsidRPr="00000000" w14:paraId="0000001E">
      <w:pPr>
        <w:pageBreakBefore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December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2020</w:t>
      </w:r>
    </w:p>
    <w:p w:rsidR="00000000" w:rsidDel="00000000" w:rsidP="00000000" w:rsidRDefault="00000000" w:rsidRPr="00000000" w14:paraId="0000001F">
      <w:pPr>
        <w:pageBreakBefore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name when received: 201203_851bew104</w:t>
      </w:r>
    </w:p>
    <w:p w:rsidR="00000000" w:rsidDel="00000000" w:rsidP="00000000" w:rsidRDefault="00000000" w:rsidRPr="00000000" w14:paraId="00000020">
      <w:pPr>
        <w:pageBreakBefore w:val="0"/>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pageBreakBefore w:val="0"/>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 Files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two folders in the “SPR Data Files” folder: one for CTH and one for human histones. </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PowerPoint "20200828_Biosensor_SPR_Project" was background information submitted to the SPR technician.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“210402_Spyros_Cycle_Legend” is an Excel sheet prepared by the technician after the two experiments that outline the immobilization injections and the concentrations (confirmed by NanoDrop spectrophotometry).</w:t>
      </w:r>
    </w:p>
    <w:p w:rsidR="00000000" w:rsidDel="00000000" w:rsidP="00000000" w:rsidRDefault="00000000" w:rsidRPr="00000000" w14:paraId="00000025">
      <w:pPr>
        <w:pageBreakBefore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ageBreakBefore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ageBreakBefore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ageBreakBefore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ageBreakBefore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ageBreakBefore w:val="0"/>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Files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import the downloaded .txt. file into Excel, open a new sheet and go to “Data.” Import the data “From Text” as tab delimited to create a pivot table.</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column headers are named by the SPR instrument.</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w:t>
      </w:r>
    </w:p>
    <w:p w:rsidR="00000000" w:rsidDel="00000000" w:rsidP="00000000" w:rsidRDefault="00000000" w:rsidRPr="00000000" w14:paraId="0000002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Cycle=1_Fc=3_X</w:t>
      </w:r>
    </w:p>
    <w:p w:rsidR="00000000" w:rsidDel="00000000" w:rsidP="00000000" w:rsidRDefault="00000000" w:rsidRPr="00000000" w14:paraId="0000002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Cycle 1, according to the Cycle Legend sheet</w:t>
      </w:r>
    </w:p>
    <w:p w:rsidR="00000000" w:rsidDel="00000000" w:rsidP="00000000" w:rsidRDefault="00000000" w:rsidRPr="00000000" w14:paraId="0000003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Flow cell 3, which has a monolayer based on the immobilization table in the Cycle Legend.</w:t>
      </w:r>
    </w:p>
    <w:p w:rsidR="00000000" w:rsidDel="00000000" w:rsidP="00000000" w:rsidRDefault="00000000" w:rsidRPr="00000000" w14:paraId="00000031">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CTH experiment, FC3 is the control surface made of just MCH, the short carbon chain blocking molecule.</w:t>
      </w:r>
    </w:p>
    <w:p w:rsidR="00000000" w:rsidDel="00000000" w:rsidP="00000000" w:rsidRDefault="00000000" w:rsidRPr="00000000" w14:paraId="00000032">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human histones experiment, FC3 is an active surface with 15 hours of aptamer and 5 hours of MCH. </w:t>
      </w:r>
    </w:p>
    <w:p w:rsidR="00000000" w:rsidDel="00000000" w:rsidP="00000000" w:rsidRDefault="00000000" w:rsidRPr="00000000" w14:paraId="0000003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indicates the x-axis of the sensogram, which is time. </w:t>
      </w:r>
    </w:p>
    <w:p w:rsidR="00000000" w:rsidDel="00000000" w:rsidP="00000000" w:rsidRDefault="00000000" w:rsidRPr="00000000" w14:paraId="0000003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indicates Response Units (RU). This is the measured value in SPR, which is based off the angle in the incident light beam which is dependent on the mass of analyte interacting with the monolayer. This value is relative and is usually in the 10,000s. </w:t>
      </w:r>
    </w:p>
    <w:p w:rsidR="00000000" w:rsidDel="00000000" w:rsidP="00000000" w:rsidRDefault="00000000" w:rsidRPr="00000000" w14:paraId="0000003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Cycle=4_Fc=4-3_X and Cycle=4_Fc=4-3_Y</w:t>
      </w:r>
    </w:p>
    <w:p w:rsidR="00000000" w:rsidDel="00000000" w:rsidP="00000000" w:rsidRDefault="00000000" w:rsidRPr="00000000" w14:paraId="0000003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columns are generated by the instrument and not its own flow cell. It is created by subtracting the RUs from the control flow cell from the active flow cell. </w:t>
      </w:r>
    </w:p>
    <w:p w:rsidR="00000000" w:rsidDel="00000000" w:rsidP="00000000" w:rsidRDefault="00000000" w:rsidRPr="00000000" w14:paraId="0000003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PowerPoint “Cycle 10 – CTH Experiment” graphically shows an example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Concentrations were run from 0nM (buffer) to 200 or 400nM from lowest to highest.</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CTH experiment used “Multi Cycle” where the solution was flowed in series through the flow cells (FC3 then FC4) with buffer (dissociation) and regeneration chemicals run in between.</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Human histones were attempted as “Single Cycle” for the first 7 cycles where concentrations were run sequentially with buffer and regeneration only at the end. The data analysis in the related PowerPoint only considers the “Multi Cycle” data in cycles 8-45.</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Regeneration is not recorded as a separate injection cycle. It is the large peak after the 180s association injection, the 600s dissociation curve, and any time needed for instrument operation. The peak happens around the 900 to 1000s time.</w:t>
      </w:r>
    </w:p>
    <w:p w:rsidR="00000000" w:rsidDel="00000000" w:rsidP="00000000" w:rsidRDefault="00000000" w:rsidRPr="00000000" w14:paraId="0000003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CTH: 50 mM NaOH, 1 M NaCl, 60 sec @ 30 µL/min (30 sec baseline stabilization) </w:t>
      </w:r>
    </w:p>
    <w:p w:rsidR="00000000" w:rsidDel="00000000" w:rsidP="00000000" w:rsidRDefault="00000000" w:rsidRPr="00000000" w14:paraId="0000003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HH: 10 mM HCl, 60 sec @ 30 µL/min (60 sec baseline stabilization)</w:t>
      </w:r>
    </w:p>
    <w:p w:rsidR="00000000" w:rsidDel="00000000" w:rsidP="00000000" w:rsidRDefault="00000000" w:rsidRPr="00000000" w14:paraId="0000003E">
      <w:pPr>
        <w:pageBreakBefore w:val="0"/>
        <w:spacing w:after="0" w:lineRule="auto"/>
        <w:rPr>
          <w:rFonts w:ascii="Times New Roman" w:cs="Times New Roman" w:eastAsia="Times New Roman" w:hAnsi="Times New Roman"/>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Hayley Richardson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 Dr. Spyridon Pavlidis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6/4/2021</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038/s41467-018-08030-y"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