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440A" w14:textId="5EDF578E" w:rsidR="002A1BE3" w:rsidRPr="002A1BE3" w:rsidRDefault="002A1BE3">
      <w:pPr>
        <w:rPr>
          <w:b/>
          <w:bCs/>
        </w:rPr>
      </w:pPr>
      <w:r w:rsidRPr="002A1BE3">
        <w:rPr>
          <w:b/>
          <w:bCs/>
        </w:rPr>
        <w:t xml:space="preserve">Introducción sobre bolsa de valores </w:t>
      </w:r>
    </w:p>
    <w:p w14:paraId="23896438" w14:textId="77777777" w:rsidR="002A1BE3" w:rsidRDefault="002A1BE3" w:rsidP="009563B4">
      <w:pPr>
        <w:jc w:val="both"/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La 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 xml:space="preserve">bolsa de 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valores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es una organización pública o privada que brinda las facilidades necesarias para que sus miembros, introduzcan órdenes y realicen negociaciones de compra y venta de </w:t>
      </w:r>
      <w:r w:rsidRPr="002A1BE3">
        <w:rPr>
          <w:rFonts w:ascii="Arial" w:hAnsi="Arial"/>
          <w:b/>
          <w:bCs/>
          <w:sz w:val="21"/>
          <w:szCs w:val="21"/>
          <w:shd w:val="clear" w:color="auto" w:fill="FFFFFF"/>
        </w:rPr>
        <w:t>valores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, </w:t>
      </w:r>
    </w:p>
    <w:p w14:paraId="3DAC5B22" w14:textId="4BBF00B5" w:rsidR="002A1BE3" w:rsidRDefault="002A1BE3" w:rsidP="009563B4">
      <w:pPr>
        <w:jc w:val="both"/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Por valor, se entiende los derechos parciales de un propietario sobre cierta sociedad, o algún título de crédito u obligación. </w:t>
      </w:r>
    </w:p>
    <w:p w14:paraId="798B06DA" w14:textId="1284ADB3" w:rsidR="002A1BE3" w:rsidRDefault="002A1BE3" w:rsidP="009563B4">
      <w:pPr>
        <w:jc w:val="both"/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Por ejemplo:</w:t>
      </w:r>
    </w:p>
    <w:p w14:paraId="07085C49" w14:textId="51CFCFEA" w:rsidR="009563B4" w:rsidRDefault="009563B4" w:rsidP="009563B4">
      <w:pPr>
        <w:jc w:val="both"/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-</w:t>
      </w:r>
      <w:r w:rsidRPr="009563B4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Títulos de participación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son </w:t>
      </w:r>
      <w:r w:rsidRPr="009563B4">
        <w:rPr>
          <w:rFonts w:ascii="Arial" w:hAnsi="Arial" w:cs="Arial"/>
          <w:color w:val="202124"/>
          <w:shd w:val="clear" w:color="auto" w:fill="FFFFFF"/>
        </w:rPr>
        <w:t>títulos</w:t>
      </w:r>
      <w:r>
        <w:rPr>
          <w:rFonts w:ascii="Arial" w:hAnsi="Arial" w:cs="Arial"/>
          <w:color w:val="202124"/>
          <w:shd w:val="clear" w:color="auto" w:fill="FFFFFF"/>
        </w:rPr>
        <w:t> valor emitidos por las entidades con la intención de obtener financiació</w:t>
      </w:r>
      <w:r>
        <w:rPr>
          <w:rFonts w:ascii="Arial" w:hAnsi="Arial" w:cs="Arial"/>
          <w:color w:val="202124"/>
          <w:shd w:val="clear" w:color="auto" w:fill="FFFFFF"/>
        </w:rPr>
        <w:t>n.</w:t>
      </w:r>
    </w:p>
    <w:p w14:paraId="750CADE8" w14:textId="02646DA2" w:rsidR="009563B4" w:rsidRDefault="009563B4" w:rsidP="009563B4">
      <w:pPr>
        <w:jc w:val="both"/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-</w:t>
      </w:r>
      <w:r w:rsidRPr="009563B4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Certificados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 xml:space="preserve"> de participación</w:t>
      </w:r>
    </w:p>
    <w:p w14:paraId="15AC8765" w14:textId="0CDCED34" w:rsidR="009563B4" w:rsidRDefault="009563B4" w:rsidP="009563B4">
      <w:pPr>
        <w:jc w:val="both"/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-</w:t>
      </w:r>
      <w:r w:rsidRPr="009563B4">
        <w:rPr>
          <w:rFonts w:ascii="Arial" w:hAnsi="Arial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b/>
          <w:bCs/>
          <w:sz w:val="21"/>
          <w:szCs w:val="21"/>
          <w:shd w:val="clear" w:color="auto" w:fill="FFFFFF"/>
        </w:rPr>
        <w:t>B</w:t>
      </w:r>
      <w:r w:rsidRPr="002A1BE3">
        <w:rPr>
          <w:rFonts w:ascii="Arial" w:hAnsi="Arial"/>
          <w:b/>
          <w:bCs/>
          <w:sz w:val="21"/>
          <w:szCs w:val="21"/>
          <w:shd w:val="clear" w:color="auto" w:fill="FFFFFF"/>
        </w:rPr>
        <w:t>onos</w:t>
      </w:r>
      <w:r w:rsidRPr="002A1BE3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 públicos y privados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valores de deuda utilizados tanto por entidades privadas como por entidades de gobierno</w:t>
      </w:r>
    </w:p>
    <w:p w14:paraId="52060372" w14:textId="588B0D83" w:rsidR="002A1BE3" w:rsidRDefault="002A1BE3" w:rsidP="009563B4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/>
          <w:b/>
          <w:bCs/>
          <w:sz w:val="21"/>
          <w:szCs w:val="21"/>
          <w:shd w:val="clear" w:color="auto" w:fill="FFFFFF"/>
        </w:rPr>
        <w:t>A</w:t>
      </w:r>
      <w:r w:rsidRPr="002A1BE3">
        <w:rPr>
          <w:rFonts w:ascii="Arial" w:hAnsi="Arial"/>
          <w:b/>
          <w:bCs/>
          <w:sz w:val="21"/>
          <w:szCs w:val="21"/>
          <w:shd w:val="clear" w:color="auto" w:fill="FFFFFF"/>
        </w:rPr>
        <w:t>cciones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de sociedades o compañías anónimas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. 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epresenta el valor de una de las fracciones iguales en que se divide su </w:t>
      </w:r>
      <w:r w:rsidRPr="002A1BE3">
        <w:rPr>
          <w:rFonts w:ascii="Arial" w:hAnsi="Arial" w:cs="Arial"/>
          <w:sz w:val="21"/>
          <w:szCs w:val="21"/>
          <w:shd w:val="clear" w:color="auto" w:fill="FFFFFF"/>
        </w:rPr>
        <w:t>capital social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eneralmente, confieren a su titular (llamado </w:t>
      </w:r>
      <w:r w:rsidRPr="002A1BE3">
        <w:rPr>
          <w:rFonts w:ascii="Arial" w:hAnsi="Arial" w:cs="Arial"/>
          <w:sz w:val="21"/>
          <w:szCs w:val="21"/>
          <w:shd w:val="clear" w:color="auto" w:fill="FFFFFF"/>
        </w:rPr>
        <w:t>accionista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derechos, como el de voto en la </w:t>
      </w:r>
      <w:r w:rsidRPr="002A1BE3">
        <w:rPr>
          <w:rFonts w:ascii="Arial" w:hAnsi="Arial" w:cs="Arial"/>
          <w:sz w:val="21"/>
          <w:szCs w:val="21"/>
          <w:shd w:val="clear" w:color="auto" w:fill="FFFFFF"/>
        </w:rPr>
        <w:t>junta de accionistas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la entidad y económicos, como participar en los beneficios de la empresa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Supone una inversión</w:t>
      </w:r>
      <w:r w:rsidR="009563B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renta variable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dado que no tiene retorno fijo establecido por el contrato, sino que depende de la marcha de la empresa. </w:t>
      </w:r>
    </w:p>
    <w:p w14:paraId="699231CE" w14:textId="72971A11" w:rsidR="009563B4" w:rsidRDefault="009563B4" w:rsidP="009563B4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 manera general, intenta satisfacer tres grandes intereses:</w:t>
      </w:r>
    </w:p>
    <w:p w14:paraId="29CFE02F" w14:textId="50217BC0" w:rsidR="009563B4" w:rsidRDefault="009563B4" w:rsidP="009563B4">
      <w:pPr>
        <w:pStyle w:val="Prrafodelista"/>
        <w:numPr>
          <w:ilvl w:val="0"/>
          <w:numId w:val="1"/>
        </w:numPr>
        <w:jc w:val="both"/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El de la empresa: obtienen financiamiento</w:t>
      </w:r>
    </w:p>
    <w:p w14:paraId="2E5563F3" w14:textId="2DECBC1E" w:rsidR="009563B4" w:rsidRDefault="009563B4" w:rsidP="009563B4">
      <w:pPr>
        <w:pStyle w:val="Prrafodelista"/>
        <w:numPr>
          <w:ilvl w:val="0"/>
          <w:numId w:val="1"/>
        </w:numPr>
        <w:jc w:val="both"/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El de los ahorradores: pasan a ser inversores</w:t>
      </w:r>
    </w:p>
    <w:p w14:paraId="6DF9A20A" w14:textId="388CB7DC" w:rsidR="009563B4" w:rsidRPr="009563B4" w:rsidRDefault="009563B4" w:rsidP="009563B4">
      <w:pPr>
        <w:pStyle w:val="Prrafodelista"/>
        <w:numPr>
          <w:ilvl w:val="0"/>
          <w:numId w:val="1"/>
        </w:numPr>
        <w:jc w:val="both"/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El del estado: se financia y hace frente al gasto público. </w:t>
      </w:r>
    </w:p>
    <w:p w14:paraId="30D0D339" w14:textId="27950E2D" w:rsidR="002A1BE3" w:rsidRPr="002A1BE3" w:rsidRDefault="002A1BE3"/>
    <w:sectPr w:rsidR="002A1BE3" w:rsidRPr="002A1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10A71"/>
    <w:multiLevelType w:val="hybridMultilevel"/>
    <w:tmpl w:val="0FE2A372"/>
    <w:lvl w:ilvl="0" w:tplc="CB7AB19A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E3"/>
    <w:rsid w:val="002A1BE3"/>
    <w:rsid w:val="0095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0A2D"/>
  <w15:chartTrackingRefBased/>
  <w15:docId w15:val="{CA835637-BE99-4CFC-8058-B550B052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A1BE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5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Meza Tudela</dc:creator>
  <cp:keywords/>
  <dc:description/>
  <cp:lastModifiedBy>Alejandro Meza Tudela</cp:lastModifiedBy>
  <cp:revision>1</cp:revision>
  <dcterms:created xsi:type="dcterms:W3CDTF">2021-05-02T22:48:00Z</dcterms:created>
  <dcterms:modified xsi:type="dcterms:W3CDTF">2021-05-02T23:10:00Z</dcterms:modified>
</cp:coreProperties>
</file>