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rPr>
        <w:t xml:space="preserve">MANUSCRIPT </w:t>
      </w:r>
      <w:r>
        <w:rPr>
          <w:rtl w:val="0"/>
          <w:lang w:val="en-US"/>
        </w:rPr>
        <w:t xml:space="preserve">— </w:t>
      </w:r>
      <w:r>
        <w:rPr>
          <w:rtl w:val="0"/>
          <w:lang w:val="it-IT"/>
        </w:rPr>
        <w:t>material 2026-09-11</w:t>
      </w:r>
    </w:p>
    <w:p>
      <w:pPr>
        <w:pStyle w:val="Title"/>
      </w:pPr>
      <w:r>
        <w:rPr>
          <w:i w:val="1"/>
          <w:iCs w:val="1"/>
          <w:outline w:val="0"/>
          <w:color w:val="000000"/>
          <w:u w:color="000000"/>
          <w:rtl w:val="0"/>
          <w:lang w:val="en-US"/>
          <w14:textFill>
            <w14:solidFill>
              <w14:srgbClr w14:val="000000"/>
            </w14:solidFill>
          </w14:textFill>
        </w:rPr>
        <w:t>Session: Lesson 6 (continued). Pipeline cleanup, day-2 data, and the breastfed-infant partition across both recall days.</w:t>
      </w:r>
    </w:p>
    <w:p>
      <w:pPr>
        <w:pStyle w:val="Heading"/>
      </w:pPr>
      <w:r>
        <w:rPr>
          <w:rtl w:val="0"/>
          <w:lang w:val="en-US"/>
        </w:rPr>
        <w:t>1. Pipeline changes</w:t>
      </w:r>
    </w:p>
    <w:p>
      <w:pPr>
        <w:pStyle w:val="Heading"/>
      </w:pPr>
      <w:r>
        <w:rPr>
          <w:outline w:val="0"/>
          <w:color w:val="000000"/>
          <w:u w:color="000000"/>
          <w:rtl w:val="0"/>
          <w:lang w:val="pt-PT"/>
          <w14:textFill>
            <w14:solidFill>
              <w14:srgbClr w14:val="000000"/>
            </w14:solidFill>
          </w14:textFill>
        </w:rPr>
        <w:t xml:space="preserve">02_merge.R. </w:t>
      </w:r>
      <w:r>
        <w:rPr>
          <w:outline w:val="0"/>
          <w:color w:val="000000"/>
          <w:u w:color="000000"/>
          <w:rtl w:val="0"/>
          <w:lang w:val="en-US"/>
          <w14:textFill>
            <w14:solidFill>
              <w14:srgbClr w14:val="000000"/>
            </w14:solidFill>
          </w14:textFill>
        </w:rPr>
        <w:t xml:space="preserve">Removed two console diagnostics (the recall-nonresponse-by-age block and the unused </w:t>
      </w:r>
      <w:r>
        <w:rPr>
          <w:rFonts w:ascii="Consolas" w:cs="Consolas" w:hAnsi="Consolas" w:eastAsia="Consolas"/>
          <w:outline w:val="0"/>
          <w:color w:val="000000"/>
          <w:sz w:val="20"/>
          <w:szCs w:val="20"/>
          <w:u w:color="000000"/>
          <w:rtl w:val="0"/>
          <w:lang w:val="en-US"/>
          <w14:textFill>
            <w14:solidFill>
              <w14:srgbClr w14:val="000000"/>
            </w14:solidFill>
          </w14:textFill>
        </w:rPr>
        <w:t>merged_diet</w:t>
      </w:r>
      <w:r>
        <w:rPr>
          <w:outline w:val="0"/>
          <w:color w:val="000000"/>
          <w:u w:color="000000"/>
          <w:rtl w:val="0"/>
          <w:lang w:val="en-US"/>
          <w14:textFill>
            <w14:solidFill>
              <w14:srgbClr w14:val="000000"/>
            </w14:solidFill>
          </w14:textFill>
        </w:rPr>
        <w:t xml:space="preserve"> inner join). Rewrote the weight-recode comments to match the </w:t>
      </w:r>
      <w:r>
        <w:rPr>
          <w:rFonts w:ascii="Consolas" w:cs="Consolas" w:hAnsi="Consolas" w:eastAsia="Consolas"/>
          <w:outline w:val="0"/>
          <w:color w:val="000000"/>
          <w:sz w:val="20"/>
          <w:szCs w:val="20"/>
          <w:u w:color="000000"/>
          <w:rtl w:val="0"/>
          <w:lang w:val="de-DE"/>
          <w14:textFill>
            <w14:solidFill>
              <w14:srgbClr w14:val="000000"/>
            </w14:solidFill>
          </w14:textFill>
        </w:rPr>
        <w:t>DR1DRSTZ</w:t>
      </w:r>
      <w:r>
        <w:rPr>
          <w:outline w:val="0"/>
          <w:color w:val="000000"/>
          <w:u w:color="000000"/>
          <w:rtl w:val="0"/>
          <w:lang w:val="en-US"/>
          <w14:textFill>
            <w14:solidFill>
              <w14:srgbClr w14:val="000000"/>
            </w14:solidFill>
          </w14:textFill>
        </w:rPr>
        <w:t xml:space="preserve"> partition. Moved the inner-join finding (550 dropped) into the header comment.</w:t>
      </w:r>
    </w:p>
    <w:p>
      <w:pPr>
        <w:pStyle w:val="Heading"/>
      </w:pPr>
      <w:r>
        <w:rPr>
          <w:outline w:val="0"/>
          <w:color w:val="000000"/>
          <w:u w:color="000000"/>
          <w:rtl w:val="0"/>
          <w:lang w:val="en-US"/>
          <w14:textFill>
            <w14:solidFill>
              <w14:srgbClr w14:val="000000"/>
            </w14:solidFill>
          </w14:textFill>
        </w:rPr>
        <w:t xml:space="preserve">01_download.R. </w:t>
      </w:r>
      <w:r>
        <w:rPr>
          <w:outline w:val="0"/>
          <w:color w:val="000000"/>
          <w:u w:color="000000"/>
          <w:rtl w:val="0"/>
          <w:lang w:val="en-US"/>
          <w14:textFill>
            <w14:solidFill>
              <w14:srgbClr w14:val="000000"/>
            </w14:solidFill>
          </w14:textFill>
        </w:rPr>
        <w:t xml:space="preserve">Added </w:t>
      </w:r>
      <w:r>
        <w:rPr>
          <w:rFonts w:ascii="Consolas" w:cs="Consolas" w:hAnsi="Consolas" w:eastAsia="Consolas"/>
          <w:outline w:val="0"/>
          <w:color w:val="000000"/>
          <w:sz w:val="20"/>
          <w:szCs w:val="20"/>
          <w:u w:color="000000"/>
          <w:rtl w:val="0"/>
          <w14:textFill>
            <w14:solidFill>
              <w14:srgbClr w14:val="000000"/>
            </w14:solidFill>
          </w14:textFill>
        </w:rPr>
        <w:t>diet2_j &lt;- nhanes("DR2TOT_J")</w:t>
      </w:r>
      <w:r>
        <w:rPr>
          <w:outline w:val="0"/>
          <w:color w:val="000000"/>
          <w:u w:color="000000"/>
          <w:rtl w:val="0"/>
          <w:lang w:val="en-US"/>
          <w14:textFill>
            <w14:solidFill>
              <w14:srgbClr w14:val="000000"/>
            </w14:solidFill>
          </w14:textFill>
        </w:rPr>
        <w:t>. Removed printing diagnostics; expected sizes recorded as a comment.</w:t>
      </w:r>
    </w:p>
    <w:p>
      <w:pPr>
        <w:pStyle w:val="Heading"/>
      </w:pPr>
      <w:r>
        <w:rPr>
          <w:outline w:val="0"/>
          <w:color w:val="000000"/>
          <w:u w:color="000000"/>
          <w:rtl w:val="0"/>
          <w14:textFill>
            <w14:solidFill>
              <w14:srgbClr w14:val="000000"/>
            </w14:solidFill>
          </w14:textFill>
        </w:rPr>
        <w:t xml:space="preserve">Cold start. </w:t>
      </w:r>
      <w:r>
        <w:rPr>
          <w:outline w:val="0"/>
          <w:color w:val="000000"/>
          <w:u w:color="000000"/>
          <w:rtl w:val="0"/>
          <w:lang w:val="en-US"/>
          <w14:textFill>
            <w14:solidFill>
              <w14:srgbClr w14:val="000000"/>
            </w14:solidFill>
          </w14:textFill>
        </w:rPr>
        <w:t xml:space="preserve">After Session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Restart R, all four scripts ran without error. </w:t>
      </w:r>
      <w:r>
        <w:rPr>
          <w:rFonts w:ascii="Consolas" w:cs="Consolas" w:hAnsi="Consolas" w:eastAsia="Consolas"/>
          <w:outline w:val="0"/>
          <w:color w:val="000000"/>
          <w:sz w:val="20"/>
          <w:szCs w:val="20"/>
          <w:u w:color="000000"/>
          <w:rtl w:val="0"/>
          <w:lang w:val="de-DE"/>
          <w14:textFill>
            <w14:solidFill>
              <w14:srgbClr w14:val="000000"/>
            </w14:solidFill>
          </w14:textFill>
        </w:rPr>
        <w:t>degf(diet_design)</w:t>
      </w:r>
      <w:r>
        <w:rPr>
          <w:outline w:val="0"/>
          <w:color w:val="000000"/>
          <w:u w:color="000000"/>
          <w:rtl w:val="0"/>
          <w:lang w:val="en-US"/>
          <w14:textFill>
            <w14:solidFill>
              <w14:srgbClr w14:val="000000"/>
            </w14:solidFill>
          </w14:textFill>
        </w:rPr>
        <w:t xml:space="preserve"> = 15 and </w:t>
      </w:r>
      <w:r>
        <w:rPr>
          <w:rFonts w:ascii="Consolas" w:cs="Consolas" w:hAnsi="Consolas" w:eastAsia="Consolas"/>
          <w:outline w:val="0"/>
          <w:color w:val="000000"/>
          <w:sz w:val="20"/>
          <w:szCs w:val="20"/>
          <w:u w:color="000000"/>
          <w:rtl w:val="0"/>
          <w:lang w:val="en-US"/>
          <w14:textFill>
            <w14:solidFill>
              <w14:srgbClr w14:val="000000"/>
            </w14:solidFill>
          </w14:textFill>
        </w:rPr>
        <w:t>sum(weights(diet_design_2d) &gt; 0)</w:t>
      </w:r>
      <w:r>
        <w:rPr>
          <w:outline w:val="0"/>
          <w:color w:val="000000"/>
          <w:u w:color="000000"/>
          <w:rtl w:val="0"/>
          <w:lang w:val="en-US"/>
          <w14:textFill>
            <w14:solidFill>
              <w14:srgbClr w14:val="000000"/>
            </w14:solidFill>
          </w14:textFill>
        </w:rPr>
        <w:t xml:space="preserve"> = 6,639, identical to earlier results. </w:t>
      </w:r>
      <w:r>
        <w:rPr>
          <w:rFonts w:ascii="Consolas" w:cs="Consolas" w:hAnsi="Consolas" w:eastAsia="Consolas"/>
          <w:outline w:val="0"/>
          <w:color w:val="000000"/>
          <w:sz w:val="20"/>
          <w:szCs w:val="20"/>
          <w:u w:color="000000"/>
          <w:rtl w:val="0"/>
          <w:lang w:val="en-US"/>
          <w14:textFill>
            <w14:solidFill>
              <w14:srgbClr w14:val="000000"/>
            </w14:solidFill>
          </w14:textFill>
        </w:rPr>
        <w:t>exists("merged_diet")</w:t>
      </w:r>
      <w:r>
        <w:rPr>
          <w:outline w:val="0"/>
          <w:color w:val="000000"/>
          <w:u w:color="000000"/>
          <w:rtl w:val="0"/>
          <w:lang w:val="en-US"/>
          <w14:textFill>
            <w14:solidFill>
              <w14:srgbClr w14:val="000000"/>
            </w14:solidFill>
          </w14:textFill>
        </w:rPr>
        <w:t xml:space="preserve"> = FALSE. Both commits pushed.</w:t>
      </w:r>
    </w:p>
    <w:p>
      <w:pPr>
        <w:pStyle w:val="Heading"/>
      </w:pPr>
      <w:r>
        <w:rPr>
          <w:rtl w:val="0"/>
          <w:lang w:val="en-US"/>
        </w:rPr>
        <w:t>2. Findings</w:t>
      </w:r>
    </w:p>
    <w:p>
      <w:pPr>
        <w:pStyle w:val="Heading 2"/>
      </w:pPr>
      <w:r>
        <w:rPr>
          <w:rtl w:val="0"/>
          <w:lang w:val="en-US"/>
        </w:rPr>
        <w:t>2.1 A mislabeled diagnostic measured the wrong population</w:t>
      </w:r>
    </w:p>
    <w:p>
      <w:pPr>
        <w:pStyle w:val="Heading 2"/>
      </w:pPr>
      <w:r>
        <w:rPr>
          <w:outline w:val="0"/>
          <w:color w:val="000000"/>
          <w:u w:color="000000"/>
          <w:rtl w:val="0"/>
          <w:lang w:val="en-US"/>
          <w14:textFill>
            <w14:solidFill>
              <w14:srgbClr w14:val="000000"/>
            </w14:solidFill>
          </w14:textFill>
        </w:rPr>
        <w:t xml:space="preserve">The deleted block was headed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Dietary recall nonresponse by age</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and defined </w:t>
      </w:r>
      <w:r>
        <w:rPr>
          <w:rFonts w:ascii="Consolas" w:cs="Consolas" w:hAnsi="Consolas" w:eastAsia="Consolas"/>
          <w:outline w:val="0"/>
          <w:color w:val="000000"/>
          <w:sz w:val="20"/>
          <w:szCs w:val="20"/>
          <w:u w:color="000000"/>
          <w:rtl w:val="0"/>
          <w:lang w:val="en-US"/>
          <w14:textFill>
            <w14:solidFill>
              <w14:srgbClr w14:val="000000"/>
            </w14:solidFill>
          </w14:textFill>
        </w:rPr>
        <w:t>has_recall = !is.na(WTDRD1)</w:t>
      </w:r>
      <w:r>
        <w:rPr>
          <w:outline w:val="0"/>
          <w:color w:val="000000"/>
          <w:u w:color="000000"/>
          <w:rtl w:val="0"/>
          <w:lang w:val="en-US"/>
          <w14:textFill>
            <w14:solidFill>
              <w14:srgbClr w14:val="000000"/>
            </w14:solidFill>
          </w14:textFill>
        </w:rPr>
        <w:t xml:space="preserve">. But </w:t>
      </w:r>
      <w:r>
        <w:rPr>
          <w:rFonts w:ascii="Consolas" w:cs="Consolas" w:hAnsi="Consolas" w:eastAsia="Consolas"/>
          <w:outline w:val="0"/>
          <w:color w:val="000000"/>
          <w:sz w:val="20"/>
          <w:szCs w:val="20"/>
          <w:u w:color="000000"/>
          <w:rtl w:val="0"/>
          <w:lang w:val="da-DK"/>
          <w14:textFill>
            <w14:solidFill>
              <w14:srgbClr w14:val="000000"/>
            </w14:solidFill>
          </w14:textFill>
        </w:rPr>
        <w:t>WTDRD1</w:t>
      </w:r>
      <w:r>
        <w:rPr>
          <w:outline w:val="0"/>
          <w:color w:val="000000"/>
          <w:u w:color="000000"/>
          <w:rtl w:val="0"/>
          <w:lang w:val="en-US"/>
          <w14:textFill>
            <w14:solidFill>
              <w14:srgbClr w14:val="000000"/>
            </w14:solidFill>
          </w14:textFill>
        </w:rPr>
        <w:t xml:space="preserve"> is NA only for the 550 MEC non-attendees; attendees without a usable recall carry an exact zero. The diagnostic therefore measured MEC non-attendance, not recall nonresponse. The reported 5.0</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7.8% age range described the wrong group.</w:t>
      </w:r>
    </w:p>
    <w:p>
      <w:pPr>
        <w:pStyle w:val="Heading 2"/>
      </w:pPr>
      <w:r>
        <w:rPr>
          <w:outline w:val="0"/>
          <w:color w:val="000000"/>
          <w:u w:color="000000"/>
          <w:rtl w:val="0"/>
          <w:lang w:val="en-US"/>
          <w14:textFill>
            <w14:solidFill>
              <w14:srgbClr w14:val="000000"/>
            </w14:solidFill>
          </w14:textFill>
        </w:rPr>
        <w:t>Overall, MEC non-attendance is 550 / 9,254 = 5.9%. Recall nonresponse among MEC attendees is 976 / 8,704 = 11.2%, or 1,063 / 8,704 = 12.2% including unreliable recalls. The mislabeled figure understated nonresponse by roughly half, and nothing errored.</w:t>
      </w:r>
    </w:p>
    <w:p>
      <w:pPr>
        <w:pStyle w:val="Heading 2"/>
      </w:pPr>
      <w:r>
        <w:rPr>
          <w:rtl w:val="0"/>
          <w:lang w:val="en-US"/>
        </w:rPr>
        <w:t>2.2 The full day-1 partition (DR1DRSTZ)</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00"/>
        <w:gridCol w:w="1200"/>
        <w:gridCol w:w="1800"/>
        <w:gridCol w:w="2226"/>
      </w:tblGrid>
      <w:tr>
        <w:tblPrEx>
          <w:shd w:val="clear" w:color="auto" w:fill="ced7e7"/>
        </w:tblPrEx>
        <w:trPr>
          <w:trHeight w:val="222" w:hRule="atLeast"/>
        </w:trPr>
        <w:tc>
          <w:tcPr>
            <w:tcW w:type="dxa" w:w="3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20"/>
                <w:szCs w:val="20"/>
                <w:u w:color="000000"/>
                <w:shd w:val="nil" w:color="auto" w:fill="auto"/>
                <w:rtl w:val="0"/>
                <w:lang w:val="nl-NL"/>
              </w:rPr>
              <w:t>Status</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rPr>
              <w:t>n</w:t>
            </w:r>
          </w:p>
        </w:tc>
        <w:tc>
          <w:tcPr>
            <w:tcW w:type="dxa" w:w="1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lang w:val="da-DK"/>
              </w:rPr>
              <w:t>WTDRD1</w:t>
            </w:r>
          </w:p>
        </w:tc>
        <w:tc>
          <w:tcPr>
            <w:tcW w:type="dxa" w:w="2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da-DK"/>
              </w:rPr>
              <w:t>WTDR2D</w:t>
            </w:r>
          </w:p>
        </w:tc>
      </w:tr>
      <w:tr>
        <w:tblPrEx>
          <w:shd w:val="clear" w:color="auto" w:fill="ced7e7"/>
        </w:tblPrEx>
        <w:trPr>
          <w:trHeight w:val="222" w:hRule="atLeast"/>
        </w:trPr>
        <w:tc>
          <w:tcPr>
            <w:tcW w:type="dxa" w:w="3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Reliable</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7,484</w:t>
            </w:r>
          </w:p>
        </w:tc>
        <w:tc>
          <w:tcPr>
            <w:tcW w:type="dxa" w:w="1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en-US"/>
              </w:rPr>
              <w:t>positive</w:t>
            </w:r>
          </w:p>
        </w:tc>
        <w:tc>
          <w:tcPr>
            <w:tcW w:type="dxa" w:w="2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positive or 0</w:t>
            </w:r>
          </w:p>
        </w:tc>
      </w:tr>
      <w:tr>
        <w:tblPrEx>
          <w:shd w:val="clear" w:color="auto" w:fill="ced7e7"/>
        </w:tblPrEx>
        <w:trPr>
          <w:trHeight w:val="222" w:hRule="atLeast"/>
        </w:trPr>
        <w:tc>
          <w:tcPr>
            <w:tcW w:type="dxa" w:w="3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Reported consuming breast-milk</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157</w:t>
            </w:r>
          </w:p>
        </w:tc>
        <w:tc>
          <w:tcPr>
            <w:tcW w:type="dxa" w:w="1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lang w:val="en-US"/>
              </w:rPr>
              <w:t>positive</w:t>
            </w:r>
          </w:p>
        </w:tc>
        <w:tc>
          <w:tcPr>
            <w:tcW w:type="dxa" w:w="2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positive or 0</w:t>
            </w:r>
          </w:p>
        </w:tc>
      </w:tr>
      <w:tr>
        <w:tblPrEx>
          <w:shd w:val="clear" w:color="auto" w:fill="ced7e7"/>
        </w:tblPrEx>
        <w:trPr>
          <w:trHeight w:val="222" w:hRule="atLeast"/>
        </w:trPr>
        <w:tc>
          <w:tcPr>
            <w:tcW w:type="dxa" w:w="3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Not reliable</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87</w:t>
            </w:r>
          </w:p>
        </w:tc>
        <w:tc>
          <w:tcPr>
            <w:tcW w:type="dxa" w:w="1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w:t>
            </w:r>
          </w:p>
        </w:tc>
        <w:tc>
          <w:tcPr>
            <w:tcW w:type="dxa" w:w="2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NA</w:t>
            </w:r>
          </w:p>
        </w:tc>
      </w:tr>
      <w:tr>
        <w:tblPrEx>
          <w:shd w:val="clear" w:color="auto" w:fill="ced7e7"/>
        </w:tblPrEx>
        <w:trPr>
          <w:trHeight w:val="222" w:hRule="atLeast"/>
        </w:trPr>
        <w:tc>
          <w:tcPr>
            <w:tcW w:type="dxa" w:w="3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Not done</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976</w:t>
            </w:r>
          </w:p>
        </w:tc>
        <w:tc>
          <w:tcPr>
            <w:tcW w:type="dxa" w:w="1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0</w:t>
            </w:r>
          </w:p>
        </w:tc>
        <w:tc>
          <w:tcPr>
            <w:tcW w:type="dxa" w:w="2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NA</w:t>
            </w:r>
          </w:p>
        </w:tc>
      </w:tr>
      <w:tr>
        <w:tblPrEx>
          <w:shd w:val="clear" w:color="auto" w:fill="ced7e7"/>
        </w:tblPrEx>
        <w:trPr>
          <w:trHeight w:val="222" w:hRule="atLeast"/>
        </w:trPr>
        <w:tc>
          <w:tcPr>
            <w:tcW w:type="dxa" w:w="3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Never attended MEC (NA status)</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550</w:t>
            </w:r>
          </w:p>
        </w:tc>
        <w:tc>
          <w:tcPr>
            <w:tcW w:type="dxa" w:w="1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NA</w:t>
            </w:r>
          </w:p>
        </w:tc>
        <w:tc>
          <w:tcPr>
            <w:tcW w:type="dxa" w:w="2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NA</w:t>
            </w:r>
          </w:p>
        </w:tc>
      </w:tr>
      <w:tr>
        <w:tblPrEx>
          <w:shd w:val="clear" w:color="auto" w:fill="ced7e7"/>
        </w:tblPrEx>
        <w:trPr>
          <w:trHeight w:val="283" w:hRule="atLeast"/>
        </w:trPr>
        <w:tc>
          <w:tcPr>
            <w:tcW w:type="dxa" w:w="3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rPr>
              <w:t>Total</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9,254</w:t>
            </w:r>
          </w:p>
        </w:tc>
        <w:tc>
          <w:tcPr>
            <w:tcW w:type="dxa" w:w="18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2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bl>
    <w:p>
      <w:pPr>
        <w:pStyle w:val="Heading 2"/>
        <w:widowControl w:val="0"/>
      </w:pPr>
    </w:p>
    <w:p>
      <w:pPr>
        <w:pStyle w:val="Heading 2"/>
        <w:widowControl w:val="0"/>
      </w:pPr>
    </w:p>
    <w:p>
      <w:pPr>
        <w:pStyle w:val="Heading 2"/>
        <w:widowControl w:val="0"/>
      </w:pPr>
      <w:r>
        <w:rPr>
          <w:outline w:val="0"/>
          <w:color w:val="000000"/>
          <w:u w:color="000000"/>
          <w:rtl w:val="0"/>
          <w:lang w:val="en-US"/>
          <w14:textFill>
            <w14:solidFill>
              <w14:srgbClr w14:val="000000"/>
            </w14:solidFill>
          </w14:textFill>
        </w:rPr>
        <w:t>Reliable + breast-milk = 7,641 (the day-1 analytic sample). The remaining 550 + 976 + 87 = 1,613 equals the WTDR2D NA count exactly. Within the 7,641, WTDR2D splits into 6,639 positive and 1,002 exact zeros (day-2 attrition). Two counts found independently in earlier sessions come from one partition.</w:t>
      </w:r>
    </w:p>
    <w:p>
      <w:pPr>
        <w:pStyle w:val="Heading 2"/>
      </w:pPr>
      <w:r>
        <w:rPr>
          <w:rtl w:val="0"/>
          <w:lang w:val="en-US"/>
        </w:rPr>
        <w:t>2.3 The day-2 data existed only in memory</w:t>
      </w:r>
    </w:p>
    <w:p>
      <w:pPr>
        <w:pStyle w:val="Heading 2"/>
      </w:pPr>
      <w:r>
        <w:rPr>
          <w:outline w:val="0"/>
          <w:color w:val="000000"/>
          <w:u w:color="000000"/>
          <w:rtl w:val="0"/>
          <w:lang w:val="en-US"/>
          <w14:textFill>
            <w14:solidFill>
              <w14:srgbClr w14:val="000000"/>
            </w14:solidFill>
          </w14:textFill>
        </w:rPr>
        <w:t xml:space="preserve">After the restart, no object contained </w:t>
      </w:r>
      <w:r>
        <w:rPr>
          <w:rFonts w:ascii="Consolas" w:cs="Consolas" w:hAnsi="Consolas" w:eastAsia="Consolas"/>
          <w:outline w:val="0"/>
          <w:color w:val="000000"/>
          <w:sz w:val="20"/>
          <w:szCs w:val="20"/>
          <w:u w:color="000000"/>
          <w:rtl w:val="0"/>
          <w:lang w:val="da-DK"/>
          <w14:textFill>
            <w14:solidFill>
              <w14:srgbClr w14:val="000000"/>
            </w14:solidFill>
          </w14:textFill>
        </w:rPr>
        <w:t>DR2TKCAL</w:t>
      </w:r>
      <w:r>
        <w:rPr>
          <w:outline w:val="0"/>
          <w:color w:val="000000"/>
          <w:u w:color="000000"/>
          <w:rtl w:val="0"/>
          <w:lang w:val="en-US"/>
          <w14:textFill>
            <w14:solidFill>
              <w14:srgbClr w14:val="000000"/>
            </w14:solidFill>
          </w14:textFill>
        </w:rPr>
        <w:t>. DR2TOT_J had been downloaded in an earlier Console session but was never created by a saved script. The cold start exposed a result that had never been written down. 04_design_2d.R still ran, because WTDR2D is carried in the day-1 file, so a day-2 design can be built without any day-2 recall data.</w:t>
      </w:r>
    </w:p>
    <w:p>
      <w:pPr>
        <w:pStyle w:val="Heading 2"/>
      </w:pPr>
      <w:r>
        <w:rPr>
          <w:rtl w:val="0"/>
          <w:lang w:val="en-US"/>
        </w:rPr>
        <w:t>2.4 Columns shared between the two dietary files</w:t>
      </w:r>
    </w:p>
    <w:p>
      <w:pPr>
        <w:pStyle w:val="Heading 2"/>
      </w:pPr>
      <w:r>
        <w:rPr>
          <w:outline w:val="0"/>
          <w:color w:val="000000"/>
          <w:u w:color="000000"/>
          <w:rtl w:val="0"/>
          <w:lang w:val="en-US"/>
          <w14:textFill>
            <w14:solidFill>
              <w14:srgbClr w14:val="000000"/>
            </w14:solidFill>
          </w14:textFill>
        </w:rPr>
        <w:t xml:space="preserve">Five columns appear in both DR1TOT_J and DR2TOT_J: </w:t>
      </w:r>
      <w:r>
        <w:rPr>
          <w:rFonts w:ascii="Consolas" w:cs="Consolas" w:hAnsi="Consolas" w:eastAsia="Consolas"/>
          <w:outline w:val="0"/>
          <w:color w:val="000000"/>
          <w:sz w:val="20"/>
          <w:szCs w:val="20"/>
          <w:u w:color="000000"/>
          <w:rtl w:val="0"/>
          <w:lang w:val="it-IT"/>
          <w14:textFill>
            <w14:solidFill>
              <w14:srgbClr w14:val="000000"/>
            </w14:solidFill>
          </w14:textFill>
        </w:rPr>
        <w:t>SEQN</w:t>
      </w:r>
      <w:r>
        <w:rPr>
          <w:outline w:val="0"/>
          <w:color w:val="000000"/>
          <w:u w:color="000000"/>
          <w:rtl w:val="0"/>
          <w14:textFill>
            <w14:solidFill>
              <w14:srgbClr w14:val="000000"/>
            </w14:solidFill>
          </w14:textFill>
        </w:rPr>
        <w:t xml:space="preserve">, </w:t>
      </w:r>
      <w:r>
        <w:rPr>
          <w:rFonts w:ascii="Consolas" w:cs="Consolas" w:hAnsi="Consolas" w:eastAsia="Consolas"/>
          <w:outline w:val="0"/>
          <w:color w:val="000000"/>
          <w:sz w:val="20"/>
          <w:szCs w:val="20"/>
          <w:u w:color="000000"/>
          <w:rtl w:val="0"/>
          <w:lang w:val="da-DK"/>
          <w14:textFill>
            <w14:solidFill>
              <w14:srgbClr w14:val="000000"/>
            </w14:solidFill>
          </w14:textFill>
        </w:rPr>
        <w:t>WTDRD1</w:t>
      </w:r>
      <w:r>
        <w:rPr>
          <w:outline w:val="0"/>
          <w:color w:val="000000"/>
          <w:u w:color="000000"/>
          <w:rtl w:val="0"/>
          <w14:textFill>
            <w14:solidFill>
              <w14:srgbClr w14:val="000000"/>
            </w14:solidFill>
          </w14:textFill>
        </w:rPr>
        <w:t xml:space="preserve">, </w:t>
      </w:r>
      <w:r>
        <w:rPr>
          <w:rFonts w:ascii="Consolas" w:cs="Consolas" w:hAnsi="Consolas" w:eastAsia="Consolas"/>
          <w:outline w:val="0"/>
          <w:color w:val="000000"/>
          <w:sz w:val="20"/>
          <w:szCs w:val="20"/>
          <w:u w:color="000000"/>
          <w:rtl w:val="0"/>
          <w:lang w:val="da-DK"/>
          <w14:textFill>
            <w14:solidFill>
              <w14:srgbClr w14:val="000000"/>
            </w14:solidFill>
          </w14:textFill>
        </w:rPr>
        <w:t>WTDR2D</w:t>
      </w:r>
      <w:r>
        <w:rPr>
          <w:outline w:val="0"/>
          <w:color w:val="000000"/>
          <w:u w:color="000000"/>
          <w:rtl w:val="0"/>
          <w14:textFill>
            <w14:solidFill>
              <w14:srgbClr w14:val="000000"/>
            </w14:solidFill>
          </w14:textFill>
        </w:rPr>
        <w:t xml:space="preserve">, </w:t>
      </w:r>
      <w:r>
        <w:rPr>
          <w:rFonts w:ascii="Consolas" w:cs="Consolas" w:hAnsi="Consolas" w:eastAsia="Consolas"/>
          <w:outline w:val="0"/>
          <w:color w:val="000000"/>
          <w:sz w:val="20"/>
          <w:szCs w:val="20"/>
          <w:u w:color="000000"/>
          <w:rtl w:val="0"/>
          <w:lang w:val="da-DK"/>
          <w14:textFill>
            <w14:solidFill>
              <w14:srgbClr w14:val="000000"/>
            </w14:solidFill>
          </w14:textFill>
        </w:rPr>
        <w:t>DRABF</w:t>
      </w:r>
      <w:r>
        <w:rPr>
          <w:outline w:val="0"/>
          <w:color w:val="000000"/>
          <w:u w:color="000000"/>
          <w:rtl w:val="0"/>
          <w:lang w:val="en-US"/>
          <w14:textFill>
            <w14:solidFill>
              <w14:srgbClr w14:val="000000"/>
            </w14:solidFill>
          </w14:textFill>
        </w:rPr>
        <w:t xml:space="preserve"> (breastfed flag), and </w:t>
      </w:r>
      <w:r>
        <w:rPr>
          <w:rFonts w:ascii="Consolas" w:cs="Consolas" w:hAnsi="Consolas" w:eastAsia="Consolas"/>
          <w:outline w:val="0"/>
          <w:color w:val="000000"/>
          <w:sz w:val="20"/>
          <w:szCs w:val="20"/>
          <w:u w:color="000000"/>
          <w:rtl w:val="0"/>
          <w:lang w:val="de-DE"/>
          <w14:textFill>
            <w14:solidFill>
              <w14:srgbClr w14:val="000000"/>
            </w14:solidFill>
          </w14:textFill>
        </w:rPr>
        <w:t>DRDINT</w:t>
      </w:r>
      <w:r>
        <w:rPr>
          <w:outline w:val="0"/>
          <w:color w:val="000000"/>
          <w:u w:color="000000"/>
          <w:rtl w:val="0"/>
          <w:lang w:val="en-US"/>
          <w14:textFill>
            <w14:solidFill>
              <w14:srgbClr w14:val="000000"/>
            </w14:solidFill>
          </w14:textFill>
        </w:rPr>
        <w:t xml:space="preserve"> (days of intake). Joining the full files by SEQN produces four .x/.y pairs, after which code referring to </w:t>
      </w:r>
      <w:r>
        <w:rPr>
          <w:rFonts w:ascii="Consolas" w:cs="Consolas" w:hAnsi="Consolas" w:eastAsia="Consolas"/>
          <w:outline w:val="0"/>
          <w:color w:val="000000"/>
          <w:sz w:val="20"/>
          <w:szCs w:val="20"/>
          <w:u w:color="000000"/>
          <w:rtl w:val="0"/>
          <w:lang w:val="da-DK"/>
          <w14:textFill>
            <w14:solidFill>
              <w14:srgbClr w14:val="000000"/>
            </w14:solidFill>
          </w14:textFill>
        </w:rPr>
        <w:t>WTDRD1</w:t>
      </w:r>
      <w:r>
        <w:rPr>
          <w:outline w:val="0"/>
          <w:color w:val="000000"/>
          <w:u w:color="000000"/>
          <w:rtl w:val="0"/>
          <w:lang w:val="en-US"/>
          <w14:textFill>
            <w14:solidFill>
              <w14:srgbClr w14:val="000000"/>
            </w14:solidFill>
          </w14:textFill>
        </w:rPr>
        <w:t xml:space="preserve"> either fails or picks up the wrong copy. Safe practice: </w:t>
      </w:r>
      <w:r>
        <w:rPr>
          <w:rFonts w:ascii="Consolas" w:cs="Consolas" w:hAnsi="Consolas" w:eastAsia="Consolas"/>
          <w:outline w:val="0"/>
          <w:color w:val="000000"/>
          <w:sz w:val="20"/>
          <w:szCs w:val="20"/>
          <w:u w:color="000000"/>
          <w:rtl w:val="0"/>
          <w:lang w:val="en-US"/>
          <w14:textFill>
            <w14:solidFill>
              <w14:srgbClr w14:val="000000"/>
            </w14:solidFill>
          </w14:textFill>
        </w:rPr>
        <w:t>select()</w:t>
      </w:r>
      <w:r>
        <w:rPr>
          <w:outline w:val="0"/>
          <w:color w:val="000000"/>
          <w:u w:color="000000"/>
          <w:rtl w:val="0"/>
          <w:lang w:val="en-US"/>
          <w14:textFill>
            <w14:solidFill>
              <w14:srgbClr w14:val="000000"/>
            </w14:solidFill>
          </w14:textFill>
        </w:rPr>
        <w:t xml:space="preserve"> the needed columns before joining.</w:t>
      </w:r>
    </w:p>
    <w:p>
      <w:pPr>
        <w:pStyle w:val="Heading 2"/>
      </w:pPr>
      <w:r>
        <w:rPr>
          <w:rtl w:val="0"/>
          <w:lang w:val="da-DK"/>
        </w:rPr>
        <w:t>2.5 The 137: positive WTDR2D, missing DR2TKCAL</w:t>
      </w:r>
    </w:p>
    <w:p>
      <w:pPr>
        <w:pStyle w:val="Heading 2"/>
      </w:pPr>
      <w:r>
        <w:rPr>
          <w:outline w:val="0"/>
          <w:color w:val="000000"/>
          <w:u w:color="000000"/>
          <w:rtl w:val="0"/>
          <w:lang w:val="en-US"/>
          <w14:textFill>
            <w14:solidFill>
              <w14:srgbClr w14:val="000000"/>
            </w14:solidFill>
          </w14:textFill>
        </w:rPr>
        <w:t>All 137 are day-2 breast-milk cases with DRABF = Yes. This is the day-2 analogue of the 157 on day 1: a successful recall and a positive weight, with no energy total because the instrument does not quantify breast milk.</w:t>
      </w:r>
    </w:p>
    <w:p>
      <w:pPr>
        <w:pStyle w:val="Heading 2"/>
      </w:pPr>
      <w:r>
        <w:rPr>
          <w:rtl w:val="0"/>
          <w:lang w:val="en-US"/>
        </w:rPr>
        <w:t>2.6 Breast-milk status switches between days, in both directions</w:t>
      </w:r>
    </w:p>
    <w:p>
      <w:pPr>
        <w:pStyle w:val="Heading 2"/>
      </w:pPr>
      <w:r>
        <w:rPr>
          <w:outline w:val="0"/>
          <w:color w:val="000000"/>
          <w:u w:color="000000"/>
          <w:rtl w:val="0"/>
          <w:lang w:val="en-US"/>
          <w14:textFill>
            <w14:solidFill>
              <w14:srgbClr w14:val="000000"/>
            </w14:solidFill>
          </w14:textFill>
        </w:rPr>
        <w:t>Of the 157 day-1 breast-milk infants, 146 have positive WTDR2D and 11 have zero (did not complete day 2). Cross-tabulating status among those with positive WTDR2D:</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00"/>
        <w:gridCol w:w="3900"/>
        <w:gridCol w:w="1226"/>
      </w:tblGrid>
      <w:tr>
        <w:tblPrEx>
          <w:shd w:val="clear" w:color="auto" w:fill="ced7e7"/>
        </w:tblPrEx>
        <w:trPr>
          <w:trHeight w:val="222" w:hRule="atLeast"/>
        </w:trPr>
        <w:tc>
          <w:tcPr>
            <w:tcW w:type="dxa" w:w="3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20"/>
                <w:szCs w:val="20"/>
                <w:u w:color="000000"/>
                <w:shd w:val="nil" w:color="auto" w:fill="auto"/>
                <w:rtl w:val="0"/>
                <w:lang w:val="en-US"/>
              </w:rPr>
              <w:t>Day 1 status</w:t>
            </w:r>
          </w:p>
        </w:tc>
        <w:tc>
          <w:tcPr>
            <w:tcW w:type="dxa" w:w="3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20"/>
                <w:szCs w:val="20"/>
                <w:u w:color="000000"/>
                <w:shd w:val="nil" w:color="auto" w:fill="auto"/>
                <w:rtl w:val="0"/>
                <w:lang w:val="en-US"/>
              </w:rPr>
              <w:t>Day 2 status</w:t>
            </w:r>
          </w:p>
        </w:tc>
        <w:tc>
          <w:tcPr>
            <w:tcW w:type="dxa" w:w="1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rPr>
              <w:t>n</w:t>
            </w:r>
          </w:p>
        </w:tc>
      </w:tr>
      <w:tr>
        <w:tblPrEx>
          <w:shd w:val="clear" w:color="auto" w:fill="ced7e7"/>
        </w:tblPrEx>
        <w:trPr>
          <w:trHeight w:val="222" w:hRule="atLeast"/>
        </w:trPr>
        <w:tc>
          <w:tcPr>
            <w:tcW w:type="dxa" w:w="3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Breast-milk</w:t>
            </w:r>
          </w:p>
        </w:tc>
        <w:tc>
          <w:tcPr>
            <w:tcW w:type="dxa" w:w="3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Breast-milk</w:t>
            </w:r>
          </w:p>
        </w:tc>
        <w:tc>
          <w:tcPr>
            <w:tcW w:type="dxa" w:w="1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135</w:t>
            </w:r>
          </w:p>
        </w:tc>
      </w:tr>
      <w:tr>
        <w:tblPrEx>
          <w:shd w:val="clear" w:color="auto" w:fill="ced7e7"/>
        </w:tblPrEx>
        <w:trPr>
          <w:trHeight w:val="222" w:hRule="atLeast"/>
        </w:trPr>
        <w:tc>
          <w:tcPr>
            <w:tcW w:type="dxa" w:w="3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Breast-milk</w:t>
            </w:r>
          </w:p>
        </w:tc>
        <w:tc>
          <w:tcPr>
            <w:tcW w:type="dxa" w:w="3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Reliable</w:t>
            </w:r>
          </w:p>
        </w:tc>
        <w:tc>
          <w:tcPr>
            <w:tcW w:type="dxa" w:w="1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11</w:t>
            </w:r>
          </w:p>
        </w:tc>
      </w:tr>
      <w:tr>
        <w:tblPrEx>
          <w:shd w:val="clear" w:color="auto" w:fill="ced7e7"/>
        </w:tblPrEx>
        <w:trPr>
          <w:trHeight w:val="222" w:hRule="atLeast"/>
        </w:trPr>
        <w:tc>
          <w:tcPr>
            <w:tcW w:type="dxa" w:w="3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Reliable</w:t>
            </w:r>
          </w:p>
        </w:tc>
        <w:tc>
          <w:tcPr>
            <w:tcW w:type="dxa" w:w="39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Breast-milk</w:t>
            </w:r>
          </w:p>
        </w:tc>
        <w:tc>
          <w:tcPr>
            <w:tcW w:type="dxa" w:w="1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2</w:t>
            </w:r>
          </w:p>
        </w:tc>
      </w:tr>
    </w:tbl>
    <w:p>
      <w:pPr>
        <w:pStyle w:val="Heading 2"/>
        <w:widowControl w:val="0"/>
      </w:pPr>
    </w:p>
    <w:p>
      <w:pPr>
        <w:pStyle w:val="Heading 2"/>
        <w:widowControl w:val="0"/>
      </w:pPr>
    </w:p>
    <w:p>
      <w:pPr>
        <w:pStyle w:val="Heading 2"/>
        <w:widowControl w:val="0"/>
      </w:pPr>
      <w:r>
        <w:rPr>
          <w:outline w:val="0"/>
          <w:color w:val="000000"/>
          <w:u w:color="000000"/>
          <w:rtl w:val="0"/>
          <w:lang w:val="en-US"/>
          <w14:textFill>
            <w14:solidFill>
              <w14:srgbClr w14:val="000000"/>
            </w14:solidFill>
          </w14:textFill>
        </w:rPr>
        <w:t>135 + 11 = 146 and 135 + 2 = 137, so the arithmetic closes. The apparent gap of 9 between 146 and 137 is a net figure: 11 infants switched one way and 2 the other. Totals alone would have hidden this. Weaning plausibly explains the 11; the 2 cannot be explained from the data and should be described rather than interpreted.</w:t>
      </w:r>
    </w:p>
    <w:p>
      <w:pPr>
        <w:pStyle w:val="Heading 2"/>
        <w:widowControl w:val="0"/>
      </w:pPr>
      <w:r>
        <w:rPr>
          <w:outline w:val="0"/>
          <w:color w:val="000000"/>
          <w:u w:color="000000"/>
          <w:rtl w:val="0"/>
          <w:lang w:val="en-US"/>
          <w14:textFill>
            <w14:solidFill>
              <w14:srgbClr w14:val="000000"/>
            </w14:solidFill>
          </w14:textFill>
        </w:rPr>
        <w:t xml:space="preserve">Consequence for Lesson 7. </w:t>
      </w:r>
      <w:r>
        <w:rPr>
          <w:outline w:val="0"/>
          <w:color w:val="000000"/>
          <w:u w:color="000000"/>
          <w:rtl w:val="0"/>
          <w:lang w:val="en-US"/>
          <w14:textFill>
            <w14:solidFill>
              <w14:srgbClr w14:val="000000"/>
            </w14:solidFill>
          </w14:textFill>
        </w:rPr>
        <w:t xml:space="preserve">In a two-day model, </w:t>
      </w:r>
      <w:r>
        <w:rPr>
          <w:rFonts w:ascii="Consolas" w:cs="Consolas" w:hAnsi="Consolas" w:eastAsia="Consolas"/>
          <w:outline w:val="0"/>
          <w:color w:val="000000"/>
          <w:sz w:val="20"/>
          <w:szCs w:val="20"/>
          <w:u w:color="000000"/>
          <w:rtl w:val="0"/>
          <w14:textFill>
            <w14:solidFill>
              <w14:srgbClr w14:val="000000"/>
            </w14:solidFill>
          </w14:textFill>
        </w:rPr>
        <w:t>lmer()</w:t>
      </w:r>
      <w:r>
        <w:rPr>
          <w:outline w:val="0"/>
          <w:color w:val="000000"/>
          <w:u w:color="000000"/>
          <w:rtl w:val="0"/>
          <w:lang w:val="en-US"/>
          <w14:textFill>
            <w14:solidFill>
              <w14:srgbClr w14:val="000000"/>
            </w14:solidFill>
          </w14:textFill>
        </w:rPr>
        <w:t xml:space="preserve"> drops rows with a missing outcome by default, without warning. Among these 148 infants that is 135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2 + 11 + 2 = 283 rows. 135 infants disappear from the model entirely and 13 become one-day participants, with the missing day varying by infant. The survey weights still describe a population that includes all of them: an estimand shift carried into the repeated-measures setting.</w:t>
      </w:r>
    </w:p>
    <w:p>
      <w:pPr>
        <w:pStyle w:val="Heading 2"/>
      </w:pPr>
      <w:r>
        <w:rPr>
          <w:rtl w:val="0"/>
          <w:lang w:val="en-US"/>
        </w:rPr>
        <w:t>2.7 DRABF is a person-level flag</w:t>
      </w:r>
    </w:p>
    <w:p>
      <w:pPr>
        <w:pStyle w:val="Heading 2"/>
      </w:pPr>
      <w:r>
        <w:rPr>
          <w:outline w:val="0"/>
          <w:color w:val="000000"/>
          <w:u w:color="000000"/>
          <w:rtl w:val="0"/>
          <w:lang w:val="en-US"/>
          <w14:textFill>
            <w14:solidFill>
              <w14:srgbClr w14:val="000000"/>
            </w14:solidFill>
          </w14:textFill>
        </w:rPr>
        <w:t xml:space="preserve">All 148 infants above have DRABF = Yes, including the 13 with a real, reliable recall on one day. In the whole file, DRABF = Yes for 159 = 157 + 2 (breast-milk on at least one recall day), No for 7,482 (= 7,484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2), and NA for 1,063 (= 976 + 87). Yes + No = 7,641, so DRABF is defined only within the day-1 analytic sample.</w:t>
      </w:r>
    </w:p>
    <w:p>
      <w:pPr>
        <w:pStyle w:val="Heading 2"/>
      </w:pPr>
      <w:r>
        <w:rPr>
          <w:outline w:val="0"/>
          <w:color w:val="000000"/>
          <w:u w:color="000000"/>
          <w:rtl w:val="0"/>
          <w:lang w:val="en-US"/>
          <w14:textFill>
            <w14:solidFill>
              <w14:srgbClr w14:val="000000"/>
            </w14:solidFill>
          </w14:textFill>
        </w:rPr>
        <w:t>Excluding breastfed infants via DRABF discards 13 valid kcal values (11 day-2, 2 day-1) that day-specific status (DR1DRSTZ / DR2DRSTZ) would keep. Two variables that sound interchangeable define different populations.</w:t>
      </w:r>
    </w:p>
    <w:p>
      <w:pPr>
        <w:pStyle w:val="Heading 2"/>
      </w:pPr>
      <w:r>
        <w:rPr>
          <w:rtl w:val="0"/>
          <w:lang w:val="en-US"/>
        </w:rPr>
        <w:t>2.8 Low-energy records pass silently through log()</w:t>
      </w:r>
    </w:p>
    <w:p>
      <w:pPr>
        <w:pStyle w:val="Heading 2"/>
      </w:pPr>
      <w:r>
        <w:rPr>
          <w:rFonts w:ascii="Consolas" w:cs="Consolas" w:hAnsi="Consolas" w:eastAsia="Consolas"/>
          <w:outline w:val="0"/>
          <w:color w:val="000000"/>
          <w:sz w:val="20"/>
          <w:szCs w:val="20"/>
          <w:u w:color="000000"/>
          <w:rtl w:val="0"/>
          <w14:textFill>
            <w14:solidFill>
              <w14:srgbClr w14:val="000000"/>
            </w14:solidFill>
          </w14:textFill>
        </w:rPr>
        <w:t>log(c(0, 60, 2000))</w:t>
      </w:r>
      <w:r>
        <w:rPr>
          <w:outline w:val="0"/>
          <w:color w:val="000000"/>
          <w:u w:color="000000"/>
          <w:rtl w:val="0"/>
          <w:lang w:val="en-US"/>
          <w14:textFill>
            <w14:solidFill>
              <w14:srgbClr w14:val="000000"/>
            </w14:solidFill>
          </w14:textFill>
        </w:rPr>
        <w:t xml:space="preserve"> returns -Inf, 4.09, and 7.60. Only an exact zero produces a visibly broken value; 60 kcal, which is not a realistic full day of eating, transforms to an ordinary-looking number.</w:t>
      </w:r>
    </w:p>
    <w:p>
      <w:pPr>
        <w:pStyle w:val="Heading 2"/>
      </w:pPr>
      <w:r>
        <w:rPr>
          <w:outline w:val="0"/>
          <w:color w:val="000000"/>
          <w:u w:color="000000"/>
          <w:rtl w:val="0"/>
          <w:lang w:val="en-US"/>
          <w14:textFill>
            <w14:solidFill>
              <w14:srgbClr w14:val="000000"/>
            </w14:solidFill>
          </w14:textFill>
        </w:rPr>
        <w:t>Among reliable day-1 recalls, 107 report under 500 kcal, and only 1 (SEQN 93792) is exactly zero. The other 106 would enter a log-scale model with no warning. By age:</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1200"/>
        <w:gridCol w:w="5426"/>
      </w:tblGrid>
      <w:tr>
        <w:tblPrEx>
          <w:shd w:val="clear" w:color="auto" w:fill="ced7e7"/>
        </w:tblPrEx>
        <w:trPr>
          <w:trHeight w:val="222"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Age (years)</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20"/>
                <w:szCs w:val="20"/>
                <w:u w:color="000000"/>
                <w:shd w:val="nil" w:color="auto" w:fill="auto"/>
                <w:rtl w:val="0"/>
              </w:rPr>
              <w:t>n</w:t>
            </w:r>
          </w:p>
        </w:tc>
        <w:tc>
          <w:tcPr>
            <w:tcW w:type="dxa" w:w="54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b w:val="1"/>
                <w:bCs w:val="1"/>
                <w:sz w:val="20"/>
                <w:szCs w:val="20"/>
                <w:u w:color="000000"/>
                <w:shd w:val="nil" w:color="auto" w:fill="auto"/>
                <w:rtl w:val="0"/>
                <w:lang w:val="it-IT"/>
              </w:rPr>
              <w:t>Interpretation</w:t>
            </w:r>
          </w:p>
        </w:tc>
      </w:tr>
      <w:tr>
        <w:tblPrEx>
          <w:shd w:val="clear" w:color="auto" w:fill="ced7e7"/>
        </w:tblPrEx>
        <w:trPr>
          <w:trHeight w:val="222"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0</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2</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30</w:t>
            </w:r>
          </w:p>
        </w:tc>
        <w:tc>
          <w:tcPr>
            <w:tcW w:type="dxa" w:w="54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Plausible true intake</w:t>
            </w:r>
          </w:p>
        </w:tc>
      </w:tr>
      <w:tr>
        <w:tblPrEx>
          <w:shd w:val="clear" w:color="auto" w:fill="ced7e7"/>
        </w:tblPrEx>
        <w:trPr>
          <w:trHeight w:val="222"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3</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5</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1</w:t>
            </w:r>
          </w:p>
        </w:tc>
        <w:tc>
          <w:tcPr>
            <w:tcW w:type="dxa" w:w="54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Plausible</w:t>
            </w:r>
          </w:p>
        </w:tc>
      </w:tr>
      <w:tr>
        <w:tblPrEx>
          <w:shd w:val="clear" w:color="auto" w:fill="ced7e7"/>
        </w:tblPrEx>
        <w:trPr>
          <w:trHeight w:val="222"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6</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20</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21</w:t>
            </w:r>
          </w:p>
        </w:tc>
        <w:tc>
          <w:tcPr>
            <w:tcW w:type="dxa" w:w="54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Mixed</w:t>
            </w:r>
          </w:p>
        </w:tc>
      </w:tr>
      <w:tr>
        <w:tblPrEx>
          <w:shd w:val="clear" w:color="auto" w:fill="ced7e7"/>
        </w:tblPrEx>
        <w:trPr>
          <w:trHeight w:val="222"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21</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60</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38</w:t>
            </w:r>
          </w:p>
        </w:tc>
        <w:tc>
          <w:tcPr>
            <w:tcW w:type="dxa" w:w="54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Implausible as habitual intake</w:t>
            </w:r>
          </w:p>
        </w:tc>
      </w:tr>
      <w:tr>
        <w:tblPrEx>
          <w:shd w:val="clear" w:color="auto" w:fill="ced7e7"/>
        </w:tblPrEx>
        <w:trPr>
          <w:trHeight w:val="222"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61</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80</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17</w:t>
            </w:r>
          </w:p>
        </w:tc>
        <w:tc>
          <w:tcPr>
            <w:tcW w:type="dxa" w:w="54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0"/>
                <w:szCs w:val="20"/>
                <w:u w:color="000000"/>
                <w:shd w:val="nil" w:color="auto" w:fill="auto"/>
                <w:rtl w:val="0"/>
                <w:lang w:val="en-US"/>
              </w:rPr>
              <w:t>Implausible as habitual intake</w:t>
            </w:r>
          </w:p>
        </w:tc>
      </w:tr>
      <w:tr>
        <w:tblPrEx>
          <w:shd w:val="clear" w:color="auto" w:fill="ced7e7"/>
        </w:tblPrEx>
        <w:trPr>
          <w:trHeight w:val="283"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Total</w:t>
            </w:r>
          </w:p>
        </w:tc>
        <w:tc>
          <w:tcPr>
            <w:tcW w:type="dxa" w:w="1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20"/>
                <w:szCs w:val="20"/>
                <w:u w:color="000000"/>
                <w:shd w:val="nil" w:color="auto" w:fill="auto"/>
                <w:rtl w:val="0"/>
              </w:rPr>
              <w:t>107</w:t>
            </w:r>
          </w:p>
        </w:tc>
        <w:tc>
          <w:tcPr>
            <w:tcW w:type="dxa" w:w="54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r>
    </w:tbl>
    <w:p>
      <w:pPr>
        <w:pStyle w:val="Heading 2"/>
        <w:widowControl w:val="0"/>
      </w:pPr>
    </w:p>
    <w:p>
      <w:pPr>
        <w:pStyle w:val="Heading 2"/>
        <w:widowControl w:val="0"/>
      </w:pPr>
    </w:p>
    <w:p>
      <w:pPr>
        <w:pStyle w:val="Heading 2"/>
        <w:widowControl w:val="0"/>
      </w:pPr>
      <w:r>
        <w:rPr>
          <w:outline w:val="0"/>
          <w:color w:val="000000"/>
          <w:u w:color="000000"/>
          <w:rtl w:val="0"/>
          <w:lang w:val="en-US"/>
          <w14:textFill>
            <w14:solidFill>
              <w14:srgbClr w14:val="000000"/>
            </w14:solidFill>
          </w14:textFill>
        </w:rPr>
        <w:t xml:space="preserve">For the 55 adults over 20, the typical-day question (DR1_300) splits them: 27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much less than usual</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(a believable atypical day), 25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usual</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(implausible, likely under-reporting), and 3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much more than usual</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(contradicting the low total, suggesting omitted foods).</w:t>
      </w:r>
    </w:p>
    <w:p>
      <w:pPr>
        <w:pStyle w:val="Heading 2"/>
        <w:widowControl w:val="0"/>
      </w:pPr>
      <w:r>
        <w:rPr>
          <w:outline w:val="0"/>
          <w:color w:val="000000"/>
          <w:u w:color="000000"/>
          <w:rtl w:val="0"/>
          <w:lang w:val="en-US"/>
          <w14:textFill>
            <w14:solidFill>
              <w14:srgbClr w14:val="000000"/>
            </w14:solidFill>
          </w14:textFill>
        </w:rPr>
        <w:t xml:space="preserve">Of the 25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usual</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adults, 19 reported 500 kcal or more on day 2 (for example 60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1,077 and 333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2,469), 3 were under 500 again, and 3 had no day 2 (all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Not done</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WTDR2D = 0). A single low day therefore says little about habitual intake. This is the within-person variation that two recall days and a mixed model are designed to separate from between-person differences.</w:t>
      </w:r>
    </w:p>
    <w:p>
      <w:pPr>
        <w:pStyle w:val="Heading 2"/>
        <w:widowControl w:val="0"/>
      </w:pPr>
      <w:r>
        <w:rPr>
          <w:outline w:val="0"/>
          <w:color w:val="000000"/>
          <w:u w:color="000000"/>
          <w:rtl w:val="0"/>
          <w:lang w:val="en-US"/>
          <w14:textFill>
            <w14:solidFill>
              <w14:srgbClr w14:val="000000"/>
            </w14:solidFill>
          </w14:textFill>
        </w:rPr>
        <w:t xml:space="preserve">Low day 1 does not predict dropout. </w:t>
      </w:r>
      <w:r>
        <w:rPr>
          <w:outline w:val="0"/>
          <w:color w:val="000000"/>
          <w:u w:color="000000"/>
          <w:rtl w:val="0"/>
          <w:lang w:val="en-US"/>
          <w14:textFill>
            <w14:solidFill>
              <w14:srgbClr w14:val="000000"/>
            </w14:solidFill>
          </w14:textFill>
        </w:rPr>
        <w:t>Among reliable recalls, 15 / 107 (14.0%) of low-intake people had no day 2, versus 976 / 7,377 (13.2%) of the rest. The difference is small and, given 15 events, consistent with chance. These counts are unweighted. Arithmetic check: 976 + 15 = 991, plus the 11 breast-milk infants with zero WTDR2D, gives the 1,002 day-2 attrition count.</w:t>
      </w:r>
    </w:p>
    <w:p>
      <w:pPr>
        <w:pStyle w:val="Heading 2"/>
        <w:widowControl w:val="0"/>
      </w:pPr>
      <w:r>
        <w:rPr>
          <w:outline w:val="0"/>
          <w:color w:val="000000"/>
          <w:u w:color="000000"/>
          <w:rtl w:val="0"/>
          <w:lang w:val="fr-FR"/>
          <w14:textFill>
            <w14:solidFill>
              <w14:srgbClr w14:val="000000"/>
            </w14:solidFill>
          </w14:textFill>
        </w:rPr>
        <w:t xml:space="preserve">Manuscript point. </w:t>
      </w:r>
      <w:r>
        <w:rPr>
          <w:outline w:val="0"/>
          <w:color w:val="000000"/>
          <w:u w:color="000000"/>
          <w:rtl w:val="0"/>
          <w:lang w:val="en-US"/>
          <w14:textFill>
            <w14:solidFill>
              <w14:srgbClr w14:val="000000"/>
            </w14:solidFill>
          </w14:textFill>
        </w:rPr>
        <w:t xml:space="preserve">Any decision about zero or very low intakes (exclusion, flagging, or modelling) has to be made before the log transform, because the software only signals the single zero. The 25 </w:t>
      </w:r>
      <w:r>
        <w:rPr>
          <w:outline w:val="0"/>
          <w:color w:val="000000"/>
          <w:u w:color="000000"/>
          <w:rtl w:val="1"/>
          <w:lang w:val="ar-SA" w:bidi="ar-SA"/>
          <w14:textFill>
            <w14:solidFill>
              <w14:srgbClr w14:val="000000"/>
            </w14:solidFill>
          </w14:textFill>
        </w:rPr>
        <w:t>“</w:t>
      </w:r>
      <w:r>
        <w:rPr>
          <w:outline w:val="0"/>
          <w:color w:val="000000"/>
          <w:u w:color="000000"/>
          <w:rtl w:val="0"/>
          <w:lang w:val="en-US"/>
          <w14:textFill>
            <w14:solidFill>
              <w14:srgbClr w14:val="000000"/>
            </w14:solidFill>
          </w14:textFill>
        </w:rPr>
        <w:t>usual</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adults are the concrete case: plausible to R, implausible nutritionally.</w:t>
      </w:r>
    </w:p>
    <w:p>
      <w:pPr>
        <w:pStyle w:val="Heading"/>
      </w:pPr>
      <w:r>
        <w:rPr>
          <w:rtl w:val="0"/>
          <w:lang w:val="en-US"/>
        </w:rPr>
        <w:t>3. Weighted estimates (05_estimates.R)</w:t>
      </w:r>
    </w:p>
    <w:p>
      <w:pPr>
        <w:pStyle w:val="Heading 2"/>
      </w:pPr>
      <w:r>
        <w:rPr>
          <w:rtl w:val="0"/>
          <w:lang w:val="en-US"/>
        </w:rPr>
        <w:t>3.1 Mean day-1 energy intake</w:t>
      </w:r>
    </w:p>
    <w:p>
      <w:pPr>
        <w:pStyle w:val="Heading 2"/>
      </w:pPr>
      <w:r>
        <w:rPr>
          <w:outline w:val="0"/>
          <w:color w:val="000000"/>
          <w:u w:color="000000"/>
          <w:rtl w:val="0"/>
          <w:lang w:val="en-US"/>
          <w14:textFill>
            <w14:solidFill>
              <w14:srgbClr w14:val="000000"/>
            </w14:solidFill>
          </w14:textFill>
        </w:rPr>
        <w:t>Design-based mean: 2,075.8 kcal (SE 13.88). Unweighted mean of the same records: 1,985.2 kcal. Ignoring the weights understates population intake by 90.6 kcal, about 4.4%, with no warning. This is the energy-intake counterpart of the age comparison (weighted 38.4 vs unweighted 34.3 years).</w:t>
      </w:r>
    </w:p>
    <w:p>
      <w:pPr>
        <w:pStyle w:val="Heading 2"/>
      </w:pPr>
      <w:r>
        <w:rPr>
          <w:outline w:val="0"/>
          <w:color w:val="000000"/>
          <w:u w:color="000000"/>
          <w:rtl w:val="0"/>
          <w:lang w:val="en-US"/>
          <w14:textFill>
            <w14:solidFill>
              <w14:srgbClr w14:val="000000"/>
            </w14:solidFill>
          </w14:textFill>
        </w:rPr>
        <w:t xml:space="preserve">Degrees of freedom in confint(). </w:t>
      </w:r>
      <w:r>
        <w:rPr>
          <w:rFonts w:ascii="Consolas" w:cs="Consolas" w:hAnsi="Consolas" w:eastAsia="Consolas"/>
          <w:outline w:val="0"/>
          <w:color w:val="000000"/>
          <w:sz w:val="20"/>
          <w:szCs w:val="20"/>
          <w:u w:color="000000"/>
          <w:rtl w:val="0"/>
          <w14:textFill>
            <w14:solidFill>
              <w14:srgbClr w14:val="000000"/>
            </w14:solidFill>
          </w14:textFill>
        </w:rPr>
        <w:t>confint(svymean(...))</w:t>
      </w:r>
      <w:r>
        <w:rPr>
          <w:outline w:val="0"/>
          <w:color w:val="000000"/>
          <w:u w:color="000000"/>
          <w:rtl w:val="0"/>
          <w:lang w:val="en-US"/>
          <w14:textFill>
            <w14:solidFill>
              <w14:srgbClr w14:val="000000"/>
            </w14:solidFill>
          </w14:textFill>
        </w:rPr>
        <w:t xml:space="preserve"> returned 2,048.6</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2,103.0 (width 54.4 kcal). Passing </w:t>
      </w:r>
      <w:r>
        <w:rPr>
          <w:rFonts w:ascii="Consolas" w:cs="Consolas" w:hAnsi="Consolas" w:eastAsia="Consolas"/>
          <w:outline w:val="0"/>
          <w:color w:val="000000"/>
          <w:sz w:val="20"/>
          <w:szCs w:val="20"/>
          <w:u w:color="000000"/>
          <w:rtl w:val="0"/>
          <w:lang w:val="de-DE"/>
          <w14:textFill>
            <w14:solidFill>
              <w14:srgbClr w14:val="000000"/>
            </w14:solidFill>
          </w14:textFill>
        </w:rPr>
        <w:t>df = degf(diet_design)</w:t>
      </w:r>
      <w:r>
        <w:rPr>
          <w:outline w:val="0"/>
          <w:color w:val="000000"/>
          <w:u w:color="000000"/>
          <w:rtl w:val="0"/>
          <w:lang w:val="en-US"/>
          <w14:textFill>
            <w14:solidFill>
              <w14:srgbClr w14:val="000000"/>
            </w14:solidFill>
          </w14:textFill>
        </w:rPr>
        <w:t xml:space="preserve"> returned 2,046.2</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2,105.4 (width 59.2 kcal), 8.8% wider. This matches the derived factor qt(0.975, 15) / qnorm(0.975) = 1.087. The default output is plausible and carries no indication that the design's 15 degrees of freedom were ignored.</w:t>
      </w:r>
    </w:p>
    <w:p>
      <w:pPr>
        <w:pStyle w:val="Heading 2"/>
      </w:pPr>
      <w:r>
        <w:rPr>
          <w:rtl w:val="0"/>
          <w:lang w:val="en-US"/>
        </w:rPr>
        <w:t>3.2 Energy intake by sex: design-based vs naive</w:t>
      </w:r>
    </w:p>
    <w:p>
      <w:pPr>
        <w:pStyle w:val="Heading 2"/>
      </w:pPr>
      <w:r>
        <w:rPr>
          <w:outline w:val="0"/>
          <w:color w:val="000000"/>
          <w:u w:color="000000"/>
          <w:rtl w:val="0"/>
          <w:lang w:val="en-US"/>
          <w14:textFill>
            <w14:solidFill>
              <w14:srgbClr w14:val="000000"/>
            </w14:solidFill>
          </w14:textFill>
        </w:rPr>
        <w:t>Weighted means: men 2,355.1 kcal (SE 22.2), women 1,809.1 kcal (SE 21.1).</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200"/>
        <w:gridCol w:w="3226"/>
      </w:tblGrid>
      <w:tr>
        <w:tblPrEx>
          <w:shd w:val="clear" w:color="auto" w:fill="ced7e7"/>
        </w:tblPrEx>
        <w:trPr>
          <w:trHeight w:val="283"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tc>
        <w:tc>
          <w:tcPr>
            <w:tcW w:type="dxa" w:w="3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Design-based (svyttest)</w:t>
            </w:r>
          </w:p>
        </w:tc>
        <w:tc>
          <w:tcPr>
            <w:tcW w:type="dxa" w:w="3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rPr>
              <w:t>Naive (t.test)</w:t>
            </w:r>
          </w:p>
        </w:tc>
      </w:tr>
      <w:tr>
        <w:tblPrEx>
          <w:shd w:val="clear" w:color="auto" w:fill="ced7e7"/>
        </w:tblPrEx>
        <w:trPr>
          <w:trHeight w:val="222"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 xml:space="preserve">Difference (M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rPr>
              <w:t>F)</w:t>
            </w:r>
          </w:p>
        </w:tc>
        <w:tc>
          <w:tcPr>
            <w:tcW w:type="dxa" w:w="3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546.0 kcal</w:t>
            </w:r>
          </w:p>
        </w:tc>
        <w:tc>
          <w:tcPr>
            <w:tcW w:type="dxa" w:w="3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493.0 kcal</w:t>
            </w:r>
          </w:p>
        </w:tc>
      </w:tr>
      <w:tr>
        <w:tblPrEx>
          <w:shd w:val="clear" w:color="auto" w:fill="ced7e7"/>
        </w:tblPrEx>
        <w:trPr>
          <w:trHeight w:val="222"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95% CI</w:t>
            </w:r>
          </w:p>
        </w:tc>
        <w:tc>
          <w:tcPr>
            <w:tcW w:type="dxa" w:w="3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472.2 to 619.7</w:t>
            </w:r>
          </w:p>
        </w:tc>
        <w:tc>
          <w:tcPr>
            <w:tcW w:type="dxa" w:w="3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449.3 to 536.6</w:t>
            </w:r>
          </w:p>
        </w:tc>
      </w:tr>
      <w:tr>
        <w:tblPrEx>
          <w:shd w:val="clear" w:color="auto" w:fill="ced7e7"/>
        </w:tblPrEx>
        <w:trPr>
          <w:trHeight w:val="222"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a-DK"/>
              </w:rPr>
              <w:t>df</w:t>
            </w:r>
          </w:p>
        </w:tc>
        <w:tc>
          <w:tcPr>
            <w:tcW w:type="dxa" w:w="3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14</w:t>
            </w:r>
          </w:p>
        </w:tc>
        <w:tc>
          <w:tcPr>
            <w:tcW w:type="dxa" w:w="3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6,569.1</w:t>
            </w:r>
          </w:p>
        </w:tc>
      </w:tr>
      <w:tr>
        <w:tblPrEx>
          <w:shd w:val="clear" w:color="auto" w:fill="ced7e7"/>
        </w:tblPrEx>
        <w:trPr>
          <w:trHeight w:val="222" w:hRule="atLeast"/>
        </w:trPr>
        <w:tc>
          <w:tcPr>
            <w:tcW w:type="dxa" w:w="2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p</w:t>
            </w:r>
          </w:p>
        </w:tc>
        <w:tc>
          <w:tcPr>
            <w:tcW w:type="dxa" w:w="32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2.4e</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10</w:t>
            </w:r>
          </w:p>
        </w:tc>
        <w:tc>
          <w:tcPr>
            <w:tcW w:type="dxa" w:w="32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&lt; 2.2e</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16</w:t>
            </w:r>
          </w:p>
        </w:tc>
      </w:tr>
    </w:tbl>
    <w:p>
      <w:pPr>
        <w:pStyle w:val="Heading 2"/>
        <w:widowControl w:val="0"/>
      </w:pPr>
    </w:p>
    <w:p>
      <w:pPr>
        <w:pStyle w:val="Heading 2"/>
        <w:widowControl w:val="0"/>
      </w:pPr>
    </w:p>
    <w:p>
      <w:pPr>
        <w:pStyle w:val="Heading 2"/>
        <w:widowControl w:val="0"/>
      </w:pPr>
      <w:r>
        <w:rPr>
          <w:outline w:val="0"/>
          <w:color w:val="000000"/>
          <w:u w:color="000000"/>
          <w:rtl w:val="0"/>
          <w:lang w:val="en-US"/>
          <w14:textFill>
            <w14:solidFill>
              <w14:srgbClr w14:val="000000"/>
            </w14:solidFill>
          </w14:textFill>
        </w:rPr>
        <w:t>Two errors occur at once. The point estimate is off by 53 kcal because the unweighted sample is not representative, and the interval is too narrow because t.test() treats 8,704 observations as independent instead of recognising 30 clusters in 15 strata. The naive interval does not contain the design-based estimate of 546.0, so the naive analysis would report a confidently wrong result with no error, no warning, and a smaller p-value. svyttest() used df = 14 (one lost to the two-group comparison) automatically.</w:t>
      </w:r>
    </w:p>
    <w:p>
      <w:pPr>
        <w:pStyle w:val="Heading 2"/>
      </w:pPr>
      <w:r>
        <w:rPr>
          <w:rtl w:val="0"/>
          <w:lang w:val="en-US"/>
        </w:rPr>
        <w:t>3.3 Energy intake by age group</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000"/>
        <w:gridCol w:w="1600"/>
        <w:gridCol w:w="3026"/>
      </w:tblGrid>
      <w:tr>
        <w:tblPrEx>
          <w:shd w:val="clear" w:color="auto" w:fill="ced7e7"/>
        </w:tblPrEx>
        <w:trPr>
          <w:trHeight w:val="222"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Age group</w:t>
            </w:r>
          </w:p>
        </w:tc>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lang w:val="nl-NL"/>
              </w:rPr>
              <w:t>Mean kcal</w:t>
            </w:r>
          </w:p>
        </w:tc>
        <w:tc>
          <w:tcPr>
            <w:tcW w:type="dxa" w:w="1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20"/>
                <w:szCs w:val="20"/>
                <w:u w:color="000000"/>
                <w:shd w:val="nil" w:color="auto" w:fill="auto"/>
                <w:rtl w:val="0"/>
              </w:rPr>
              <w:t>SE</w:t>
            </w:r>
          </w:p>
        </w:tc>
        <w:tc>
          <w:tcPr>
            <w:tcW w:type="dxa" w:w="30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n (unweighted)</w:t>
            </w:r>
          </w:p>
        </w:tc>
      </w:tr>
      <w:tr>
        <w:tblPrEx>
          <w:shd w:val="clear" w:color="auto" w:fill="ced7e7"/>
        </w:tblPrEx>
        <w:trPr>
          <w:trHeight w:val="222"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0</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5</w:t>
            </w:r>
          </w:p>
        </w:tc>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1,425.5</w:t>
            </w:r>
          </w:p>
        </w:tc>
        <w:tc>
          <w:tcPr>
            <w:tcW w:type="dxa" w:w="1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27.4</w:t>
            </w:r>
          </w:p>
        </w:tc>
        <w:tc>
          <w:tcPr>
            <w:tcW w:type="dxa" w:w="30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1,376</w:t>
            </w:r>
          </w:p>
        </w:tc>
      </w:tr>
      <w:tr>
        <w:tblPrEx>
          <w:shd w:val="clear" w:color="auto" w:fill="ced7e7"/>
        </w:tblPrEx>
        <w:trPr>
          <w:trHeight w:val="222"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6</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19</w:t>
            </w:r>
          </w:p>
        </w:tc>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1,990.3</w:t>
            </w:r>
          </w:p>
        </w:tc>
        <w:tc>
          <w:tcPr>
            <w:tcW w:type="dxa" w:w="1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19.4</w:t>
            </w:r>
          </w:p>
        </w:tc>
        <w:tc>
          <w:tcPr>
            <w:tcW w:type="dxa" w:w="30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2,309</w:t>
            </w:r>
          </w:p>
        </w:tc>
      </w:tr>
      <w:tr>
        <w:tblPrEx>
          <w:shd w:val="clear" w:color="auto" w:fill="ced7e7"/>
        </w:tblPrEx>
        <w:trPr>
          <w:trHeight w:val="222"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20</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rPr>
              <w:t>64</w:t>
            </w:r>
          </w:p>
        </w:tc>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2,206.2</w:t>
            </w:r>
          </w:p>
        </w:tc>
        <w:tc>
          <w:tcPr>
            <w:tcW w:type="dxa" w:w="1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20.2</w:t>
            </w:r>
          </w:p>
        </w:tc>
        <w:tc>
          <w:tcPr>
            <w:tcW w:type="dxa" w:w="30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4,069</w:t>
            </w:r>
          </w:p>
        </w:tc>
      </w:tr>
      <w:tr>
        <w:tblPrEx>
          <w:shd w:val="clear" w:color="auto" w:fill="ced7e7"/>
        </w:tblPrEx>
        <w:trPr>
          <w:trHeight w:val="222" w:hRule="atLeast"/>
        </w:trPr>
        <w:tc>
          <w:tcPr>
            <w:tcW w:type="dxa" w:w="24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65+</w:t>
            </w:r>
          </w:p>
        </w:tc>
        <w:tc>
          <w:tcPr>
            <w:tcW w:type="dxa" w:w="20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1,955.4</w:t>
            </w:r>
          </w:p>
        </w:tc>
        <w:tc>
          <w:tcPr>
            <w:tcW w:type="dxa" w:w="160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20"/>
                <w:szCs w:val="20"/>
                <w:u w:color="000000"/>
                <w:shd w:val="nil" w:color="auto" w:fill="auto"/>
                <w:rtl w:val="0"/>
              </w:rPr>
              <w:t>48.3</w:t>
            </w:r>
          </w:p>
        </w:tc>
        <w:tc>
          <w:tcPr>
            <w:tcW w:type="dxa" w:w="3026"/>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1,500</w:t>
            </w:r>
          </w:p>
        </w:tc>
      </w:tr>
    </w:tbl>
    <w:p>
      <w:pPr>
        <w:pStyle w:val="Heading 2"/>
        <w:widowControl w:val="0"/>
      </w:pPr>
    </w:p>
    <w:p>
      <w:pPr>
        <w:pStyle w:val="Heading 2"/>
        <w:widowControl w:val="0"/>
      </w:pPr>
    </w:p>
    <w:p>
      <w:pPr>
        <w:pStyle w:val="Heading 2"/>
        <w:widowControl w:val="0"/>
      </w:pPr>
      <w:r>
        <w:rPr>
          <w:outline w:val="0"/>
          <w:color w:val="000000"/>
          <w:u w:color="000000"/>
          <w:rtl w:val="0"/>
          <w:lang w:val="en-US"/>
          <w14:textFill>
            <w14:solidFill>
              <w14:srgbClr w14:val="000000"/>
            </w14:solidFill>
          </w14:textFill>
        </w:rPr>
        <w:t>The 65+ standard error (48.3) is more than twice that of the 20</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64 group (20.2) despite 1,500 participants, because a subgroup is spread across the same 30 PSUs. Subgroup precision is governed by the design, not by subgroup sample size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relevant when planning any stratified analysis.</w:t>
      </w:r>
    </w:p>
    <w:p>
      <w:pPr>
        <w:pStyle w:val="Heading 2"/>
        <w:widowControl w:val="0"/>
      </w:pPr>
      <w:r>
        <w:rPr>
          <w:outline w:val="0"/>
          <w:color w:val="000000"/>
          <w:u w:color="000000"/>
          <w:rtl w:val="0"/>
          <w:lang w:val="en-US"/>
          <w14:textFill>
            <w14:solidFill>
              <w14:srgbClr w14:val="000000"/>
            </w14:solidFill>
          </w14:textFill>
        </w:rPr>
        <w:t xml:space="preserve">Note on age_grp. </w:t>
      </w:r>
      <w:r>
        <w:rPr>
          <w:outline w:val="0"/>
          <w:color w:val="000000"/>
          <w:u w:color="000000"/>
          <w:rtl w:val="0"/>
          <w:lang w:val="en-US"/>
          <w14:textFill>
            <w14:solidFill>
              <w14:srgbClr w14:val="000000"/>
            </w14:solidFill>
          </w14:textFill>
        </w:rPr>
        <w:t xml:space="preserve">The variable is created in 05_estimates.R, not in 02_merge.R, so it is absent from the saved .rds. </w:t>
      </w:r>
      <w:r>
        <w:rPr>
          <w:rFonts w:ascii="Consolas" w:cs="Consolas" w:hAnsi="Consolas" w:eastAsia="Consolas"/>
          <w:outline w:val="0"/>
          <w:color w:val="000000"/>
          <w:sz w:val="20"/>
          <w:szCs w:val="20"/>
          <w:u w:color="000000"/>
          <w:rtl w:val="0"/>
          <w:lang w:val="en-US"/>
          <w14:textFill>
            <w14:solidFill>
              <w14:srgbClr w14:val="000000"/>
            </w14:solidFill>
          </w14:textFill>
        </w:rPr>
        <w:t>diet_design$variables</w:t>
      </w:r>
      <w:r>
        <w:rPr>
          <w:outline w:val="0"/>
          <w:color w:val="000000"/>
          <w:u w:color="000000"/>
          <w:rtl w:val="0"/>
          <w:lang w:val="en-US"/>
          <w14:textFill>
            <w14:solidFill>
              <w14:srgbClr w14:val="000000"/>
            </w14:solidFill>
          </w14:textFill>
        </w:rPr>
        <w:t xml:space="preserve"> contains it only because the design object references the in-memory merged_all. Re-running 03_design.R without the mutate block silently drops the column.</w:t>
      </w:r>
    </w:p>
    <w:p>
      <w:pPr>
        <w:pStyle w:val="Heading"/>
      </w:pPr>
      <w:r>
        <w:rPr>
          <w:rtl w:val="0"/>
          <w:lang w:val="en-US"/>
        </w:rPr>
        <w:t>4. Additions to the silent-failure taxonomy</w:t>
      </w:r>
    </w:p>
    <w:p>
      <w:pPr>
        <w:pStyle w:val="Heading"/>
      </w:pPr>
      <w:r>
        <w:rPr>
          <w:outline w:val="0"/>
          <w:color w:val="000000"/>
          <w:u w:color="000000"/>
          <w:rtl w:val="0"/>
          <w:lang w:val="en-US"/>
          <w14:textFill>
            <w14:solidFill>
              <w14:srgbClr w14:val="000000"/>
            </w14:solidFill>
          </w14:textFill>
        </w:rPr>
        <w:t>Continuing from items 1</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7 in earlier sessions:</w:t>
      </w:r>
    </w:p>
    <w:p>
      <w:pPr>
        <w:pStyle w:val="List Paragraph"/>
        <w:numPr>
          <w:ilvl w:val="0"/>
          <w:numId w:val="3"/>
        </w:numPr>
        <w:spacing w:after="100"/>
        <w:rPr>
          <w:lang w:val="en-US"/>
        </w:rPr>
      </w:pPr>
      <w:r>
        <w:rPr>
          <w:b w:val="1"/>
          <w:bCs w:val="1"/>
          <w:rtl w:val="0"/>
          <w:lang w:val="en-US"/>
        </w:rPr>
        <w:t xml:space="preserve">A variable named for one concept measures another. </w:t>
      </w:r>
      <w:r>
        <w:rPr>
          <w:rFonts w:ascii="Consolas" w:cs="Consolas" w:hAnsi="Consolas" w:eastAsia="Consolas"/>
          <w:rtl w:val="0"/>
          <w:lang w:val="en-US"/>
        </w:rPr>
        <w:t>has_recall</w:t>
      </w:r>
      <w:r>
        <w:rPr>
          <w:rtl w:val="0"/>
          <w:lang w:val="en-US"/>
        </w:rPr>
        <w:t xml:space="preserve"> measured MEC attendance; results were plausible and nothing errored.</w:t>
      </w:r>
    </w:p>
    <w:p>
      <w:pPr>
        <w:pStyle w:val="List Paragraph"/>
        <w:numPr>
          <w:ilvl w:val="0"/>
          <w:numId w:val="2"/>
        </w:numPr>
        <w:spacing w:after="100"/>
        <w:rPr>
          <w:lang w:val="en-US"/>
        </w:rPr>
      </w:pPr>
      <w:r>
        <w:rPr>
          <w:b w:val="1"/>
          <w:bCs w:val="1"/>
          <w:rtl w:val="0"/>
          <w:lang w:val="en-US"/>
        </w:rPr>
        <w:t xml:space="preserve">Comments drift from the data. </w:t>
      </w:r>
      <w:r>
        <w:rPr>
          <w:rtl w:val="0"/>
          <w:lang w:val="en-US"/>
        </w:rPr>
        <w:t>The WTDR2D comment described the 1,613 NAs as including day-2 attrition. Code comments are documentation that no check ever tests.</w:t>
      </w:r>
    </w:p>
    <w:p>
      <w:pPr>
        <w:pStyle w:val="List Paragraph"/>
        <w:numPr>
          <w:ilvl w:val="0"/>
          <w:numId w:val="2"/>
        </w:numPr>
        <w:spacing w:after="100"/>
        <w:rPr>
          <w:lang w:val="en-US"/>
        </w:rPr>
      </w:pPr>
      <w:r>
        <w:rPr>
          <w:b w:val="1"/>
          <w:bCs w:val="1"/>
          <w:rtl w:val="0"/>
          <w:lang w:val="en-US"/>
        </w:rPr>
        <w:t xml:space="preserve">Translated factor labels. </w:t>
      </w:r>
      <w:r>
        <w:rPr>
          <w:rFonts w:ascii="Consolas" w:cs="Consolas" w:hAnsi="Consolas" w:eastAsia="Consolas"/>
          <w:rtl w:val="0"/>
          <w:lang w:val="nl-NL"/>
        </w:rPr>
        <w:t>nhanesA</w:t>
      </w:r>
      <w:r>
        <w:rPr>
          <w:rtl w:val="0"/>
          <w:lang w:val="en-US"/>
        </w:rPr>
        <w:t xml:space="preserve"> returns text labels, so </w:t>
      </w:r>
      <w:r>
        <w:rPr>
          <w:rFonts w:ascii="Consolas" w:cs="Consolas" w:hAnsi="Consolas" w:eastAsia="Consolas"/>
          <w:rtl w:val="0"/>
          <w:lang w:val="de-DE"/>
        </w:rPr>
        <w:t>filter(DR1DRSTZ == 5)</w:t>
      </w:r>
      <w:r>
        <w:rPr>
          <w:rtl w:val="0"/>
          <w:lang w:val="en-US"/>
        </w:rPr>
        <w:t xml:space="preserve"> returns zero rows with no error.</w:t>
      </w:r>
    </w:p>
    <w:p>
      <w:pPr>
        <w:pStyle w:val="List Paragraph"/>
        <w:numPr>
          <w:ilvl w:val="0"/>
          <w:numId w:val="2"/>
        </w:numPr>
        <w:spacing w:after="100"/>
        <w:rPr>
          <w:lang w:val="en-US"/>
        </w:rPr>
      </w:pPr>
      <w:r>
        <w:rPr>
          <w:b w:val="1"/>
          <w:bCs w:val="1"/>
          <w:rtl w:val="0"/>
          <w:lang w:val="en-US"/>
        </w:rPr>
        <w:t xml:space="preserve">Results that exist only in memory. </w:t>
      </w:r>
      <w:r>
        <w:rPr>
          <w:rtl w:val="0"/>
          <w:lang w:val="en-US"/>
        </w:rPr>
        <w:t>The reverse of pattern 6: a real object (diet2_j) that no saved script creates, lost silently on restart.</w:t>
      </w:r>
    </w:p>
    <w:p>
      <w:pPr>
        <w:pStyle w:val="List Paragraph"/>
        <w:numPr>
          <w:ilvl w:val="0"/>
          <w:numId w:val="2"/>
        </w:numPr>
        <w:spacing w:after="100"/>
        <w:rPr>
          <w:lang w:val="en-US"/>
        </w:rPr>
      </w:pPr>
      <w:r>
        <w:rPr>
          <w:b w:val="1"/>
          <w:bCs w:val="1"/>
          <w:rtl w:val="0"/>
          <w:lang w:val="en-US"/>
        </w:rPr>
        <w:t xml:space="preserve">Duplicate columns in joins. </w:t>
      </w:r>
      <w:r>
        <w:rPr>
          <w:rtl w:val="0"/>
          <w:lang w:val="en-US"/>
        </w:rPr>
        <w:t>Shared columns become .x/.y; later references fail or bind to the wrong copy.</w:t>
      </w:r>
    </w:p>
    <w:p>
      <w:pPr>
        <w:pStyle w:val="List Paragraph"/>
        <w:numPr>
          <w:ilvl w:val="0"/>
          <w:numId w:val="2"/>
        </w:numPr>
        <w:spacing w:after="100"/>
        <w:rPr>
          <w:lang w:val="en-US"/>
        </w:rPr>
      </w:pPr>
      <w:r>
        <w:rPr>
          <w:b w:val="1"/>
          <w:bCs w:val="1"/>
          <w:rtl w:val="0"/>
          <w:lang w:val="en-US"/>
        </w:rPr>
        <w:t xml:space="preserve">Person-level versus day-level flags. </w:t>
      </w:r>
      <w:r>
        <w:rPr>
          <w:rtl w:val="0"/>
          <w:lang w:val="en-US"/>
        </w:rPr>
        <w:t>DRABF and DR1DRSTZ/DR2DRSTZ define different populations; the choice silently changes the analytic sample.</w:t>
      </w:r>
    </w:p>
    <w:p>
      <w:pPr>
        <w:pStyle w:val="List Paragraph"/>
        <w:numPr>
          <w:ilvl w:val="0"/>
          <w:numId w:val="2"/>
        </w:numPr>
        <w:spacing w:after="100"/>
        <w:rPr>
          <w:lang w:val="en-US"/>
        </w:rPr>
      </w:pPr>
      <w:r>
        <w:rPr>
          <w:b w:val="1"/>
          <w:bCs w:val="1"/>
          <w:rtl w:val="0"/>
          <w:lang w:val="en-US"/>
        </w:rPr>
        <w:t xml:space="preserve">filter() drops NA conditions. </w:t>
      </w:r>
      <w:r>
        <w:rPr>
          <w:rFonts w:ascii="Consolas" w:cs="Consolas" w:hAnsi="Consolas" w:eastAsia="Consolas"/>
          <w:rtl w:val="0"/>
          <w:lang w:val="en-US"/>
        </w:rPr>
        <w:t>filter(DRABF != "Yes")</w:t>
      </w:r>
      <w:r>
        <w:rPr>
          <w:rtl w:val="0"/>
          <w:lang w:val="en-US"/>
        </w:rPr>
        <w:t xml:space="preserve"> silently removes the 1,063 NA rows. Zero weights mean estimates are unchanged, but the rows leave the PSU/strata structure.</w:t>
      </w:r>
    </w:p>
    <w:p>
      <w:pPr>
        <w:pStyle w:val="List Paragraph"/>
        <w:numPr>
          <w:ilvl w:val="0"/>
          <w:numId w:val="2"/>
        </w:numPr>
        <w:spacing w:after="100"/>
        <w:rPr>
          <w:lang w:val="en-US"/>
        </w:rPr>
      </w:pPr>
      <w:r>
        <w:rPr>
          <w:b w:val="1"/>
          <w:bCs w:val="1"/>
          <w:rtl w:val="0"/>
          <w:lang w:val="en-US"/>
        </w:rPr>
        <w:t xml:space="preserve">Default missing-outcome handling in lmer(). </w:t>
      </w:r>
      <w:r>
        <w:rPr>
          <w:rtl w:val="0"/>
          <w:lang w:val="en-US"/>
        </w:rPr>
        <w:t>Rows with a missing outcome are dropped without warning, producing day-varying, bidirectional missingness (283 rows here).</w:t>
      </w:r>
    </w:p>
    <w:p>
      <w:pPr>
        <w:pStyle w:val="List Paragraph"/>
        <w:numPr>
          <w:ilvl w:val="0"/>
          <w:numId w:val="2"/>
        </w:numPr>
        <w:spacing w:after="100"/>
        <w:rPr>
          <w:lang w:val="en-US"/>
        </w:rPr>
      </w:pPr>
      <w:r>
        <w:rPr>
          <w:b w:val="1"/>
          <w:bCs w:val="1"/>
          <w:rtl w:val="0"/>
          <w:lang w:val="en-US"/>
        </w:rPr>
        <w:t xml:space="preserve">Package load order decides which function runs. </w:t>
      </w:r>
      <w:r>
        <w:rPr>
          <w:rtl w:val="0"/>
          <w:lang w:val="en-US"/>
        </w:rPr>
        <w:t xml:space="preserve">Loading survey attaches Matrix, which masks tidyr::expand, pack, and unpack. A variant of pattern 1; use </w:t>
      </w:r>
      <w:r>
        <w:rPr>
          <w:rFonts w:ascii="Consolas" w:cs="Consolas" w:hAnsi="Consolas" w:eastAsia="Consolas"/>
          <w:rtl w:val="0"/>
          <w:lang w:val="sv-SE"/>
        </w:rPr>
        <w:t>tidyr::expand()</w:t>
      </w:r>
      <w:r>
        <w:rPr>
          <w:rtl w:val="0"/>
          <w:lang w:val="en-US"/>
        </w:rPr>
        <w:t xml:space="preserve"> explicitly.</w:t>
      </w:r>
    </w:p>
    <w:p>
      <w:pPr>
        <w:pStyle w:val="Heading"/>
      </w:pPr>
      <w:r>
        <w:rPr>
          <w:rtl w:val="0"/>
          <w:lang w:val="en-US"/>
        </w:rPr>
        <w:t>5. Open items</w:t>
      </w:r>
    </w:p>
    <w:p>
      <w:pPr>
        <w:pStyle w:val="List Paragraph"/>
        <w:numPr>
          <w:ilvl w:val="0"/>
          <w:numId w:val="5"/>
        </w:numPr>
        <w:spacing w:after="100"/>
        <w:rPr>
          <w:lang w:val="en-US"/>
        </w:rPr>
      </w:pPr>
      <w:r>
        <w:rPr>
          <w:rtl w:val="0"/>
          <w:lang w:val="en-US"/>
        </w:rPr>
        <w:t>Decide whether age_grp belongs in 02_merge.R so it survives a cold start.</w:t>
      </w:r>
    </w:p>
    <w:p>
      <w:pPr>
        <w:pStyle w:val="List Paragraph"/>
        <w:numPr>
          <w:ilvl w:val="0"/>
          <w:numId w:val="5"/>
        </w:numPr>
        <w:spacing w:after="100"/>
        <w:rPr>
          <w:lang w:val="en-US"/>
        </w:rPr>
      </w:pPr>
      <w:r>
        <w:rPr>
          <w:rtl w:val="0"/>
          <w:lang w:val="en-US"/>
        </w:rPr>
        <w:t>Lesson 7: decide how breastfed-infant rows are handled in the two-day models, and report it explicitly.</w:t>
      </w:r>
    </w:p>
    <w:p>
      <w:pPr>
        <w:pStyle w:val="List Paragraph"/>
        <w:numPr>
          <w:ilvl w:val="0"/>
          <w:numId w:val="5"/>
        </w:numPr>
        <w:spacing w:after="100"/>
        <w:rPr>
          <w:lang w:val="en-US"/>
        </w:rPr>
      </w:pPr>
      <w:r>
        <w:rPr>
          <w:rtl w:val="0"/>
          <w:lang w:val="en-US"/>
        </w:rPr>
        <w:t>Lesson 6 wrap-up: decide the rule for zero and sub-500 kcal records before any log transform, and whether to repeat the dropout comparison with survey weights.</w:t>
      </w:r>
    </w:p>
    <w:p>
      <w:pPr>
        <w:pStyle w:val="List Paragraph"/>
        <w:numPr>
          <w:ilvl w:val="0"/>
          <w:numId w:val="5"/>
        </w:numPr>
        <w:spacing w:after="100"/>
        <w:rPr>
          <w:lang w:val="en-US"/>
        </w:rPr>
      </w:pPr>
      <w:r>
        <w:rPr>
          <w:rtl w:val="0"/>
          <w:lang w:val="en-US"/>
        </w:rPr>
        <w:t xml:space="preserve">Set RStudio to end files with a newline (Tools </w:t>
      </w:r>
      <w:r>
        <w:rPr>
          <w:rtl w:val="0"/>
        </w:rPr>
        <w:t xml:space="preserve">→ </w:t>
      </w:r>
      <w:r>
        <w:rPr>
          <w:rtl w:val="0"/>
          <w:lang w:val="en-US"/>
        </w:rPr>
        <w:t xml:space="preserve">Global Options </w:t>
      </w:r>
      <w:r>
        <w:rPr>
          <w:rtl w:val="0"/>
        </w:rPr>
        <w:t xml:space="preserve">→ </w:t>
      </w:r>
      <w:r>
        <w:rPr>
          <w:rtl w:val="0"/>
        </w:rPr>
        <w:t xml:space="preserve">Code </w:t>
      </w:r>
      <w:r>
        <w:rPr>
          <w:rtl w:val="0"/>
        </w:rPr>
        <w:t xml:space="preserve">→ </w:t>
      </w:r>
      <w:r>
        <w:rPr>
          <w:rtl w:val="0"/>
          <w:lang w:val="en-US"/>
        </w:rPr>
        <w:t>Saving) and resave scripts.</w:t>
      </w:r>
    </w:p>
    <w:p>
      <w:pPr>
        <w:pStyle w:val="List Paragraph"/>
        <w:numPr>
          <w:ilvl w:val="0"/>
          <w:numId w:val="5"/>
        </w:numPr>
        <w:spacing w:after="100"/>
        <w:rPr>
          <w:lang w:val="en-US"/>
        </w:rPr>
      </w:pPr>
      <w:r>
        <w:rPr>
          <w:rtl w:val="0"/>
          <w:lang w:val="en-US"/>
        </w:rPr>
        <w:t>Check 03_design.R and 04_design_2d.R once more for console diagnostics.</w:t>
      </w:r>
    </w:p>
    <w:p>
      <w:pPr>
        <w:pStyle w:val="List Paragraph"/>
        <w:numPr>
          <w:ilvl w:val="0"/>
          <w:numId w:val="5"/>
        </w:numPr>
        <w:spacing w:after="100"/>
        <w:rPr>
          <w:lang w:val="en-US"/>
        </w:rPr>
      </w:pPr>
      <w:r>
        <w:rPr>
          <w:rtl w:val="0"/>
          <w:lang w:val="en-US"/>
        </w:rPr>
        <w:t>Decide whether data/processed/*.rds files are committed or gitignored.</w:t>
      </w:r>
    </w:p>
    <w:p>
      <w:pPr>
        <w:pStyle w:val="List Paragraph"/>
        <w:numPr>
          <w:ilvl w:val="0"/>
          <w:numId w:val="5"/>
        </w:numPr>
        <w:spacing w:after="100"/>
        <w:rPr>
          <w:lang w:val="en-US"/>
        </w:rPr>
      </w:pPr>
      <w:r>
        <w:rPr>
          <w:rtl w:val="0"/>
          <w:lang w:val="en-US"/>
        </w:rPr>
        <w:t>Delete the stray NHANES-B branch.</w:t>
      </w:r>
    </w:p>
    <w:p>
      <w:pPr>
        <w:pStyle w:val="List Paragraph"/>
        <w:numPr>
          <w:ilvl w:val="0"/>
          <w:numId w:val="5"/>
        </w:numPr>
        <w:spacing w:after="100"/>
        <w:rPr>
          <w:lang w:val="en-US"/>
        </w:rPr>
      </w:pPr>
      <w:r>
        <w:rPr>
          <w:rtl w:val="0"/>
          <w:lang w:val="en-US"/>
        </w:rPr>
        <w:t>Write the note on design variables carrying missingness information.</w:t>
      </w:r>
    </w:p>
    <w:sectPr>
      <w:headerReference w:type="default" r:id="rId4"/>
      <w:footerReference w:type="default" r:id="rId5"/>
      <w:pgSz w:w="11900" w:h="16840" w:orient="portrait"/>
      <w:pgMar w:top="1300" w:right="1300" w:bottom="1300" w:left="13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nsolas">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5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8"/>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120" w:line="240"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1f3864"/>
      <w:spacing w:val="0"/>
      <w:kern w:val="0"/>
      <w:position w:val="0"/>
      <w:sz w:val="36"/>
      <w:szCs w:val="36"/>
      <w:u w:val="none" w:color="1f3864"/>
      <w:shd w:val="nil" w:color="auto" w:fill="auto"/>
      <w:vertAlign w:val="baseline"/>
      <w14:textOutline>
        <w14:noFill/>
      </w14:textOutline>
      <w14:textFill>
        <w14:solidFill>
          <w14:srgbClr w14:val="1F3864"/>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280" w:after="12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1f3864"/>
      <w:spacing w:val="0"/>
      <w:kern w:val="0"/>
      <w:position w:val="0"/>
      <w:sz w:val="28"/>
      <w:szCs w:val="28"/>
      <w:u w:val="none" w:color="1f3864"/>
      <w:shd w:val="nil" w:color="auto" w:fill="auto"/>
      <w:vertAlign w:val="baseline"/>
      <w:lang w:val="en-US"/>
      <w14:textOutline>
        <w14:noFill/>
      </w14:textOutline>
      <w14:textFill>
        <w14:solidFill>
          <w14:srgbClr w14:val="1F3864"/>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00" w:after="100" w:line="24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2f5496"/>
      <w:spacing w:val="0"/>
      <w:kern w:val="0"/>
      <w:position w:val="0"/>
      <w:sz w:val="24"/>
      <w:szCs w:val="24"/>
      <w:u w:val="none" w:color="2f5496"/>
      <w:shd w:val="nil" w:color="auto" w:fill="auto"/>
      <w:vertAlign w:val="baseline"/>
      <w:lang w:val="en-US"/>
      <w14:textOutline>
        <w14:noFill/>
      </w14:textOutline>
      <w14:textFill>
        <w14:solidFill>
          <w14:srgbClr w14:val="2F549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nl-NL"/>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