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atomicnoteslesson7start20260911" w:id="0"/>
      <w:r>
        <w:rPr>
          <w:rtl w:val="0"/>
          <w:lang w:val="en-US"/>
        </w:rPr>
        <w:t xml:space="preserve">Atomic notes </w:t>
      </w:r>
      <w:r>
        <w:rPr>
          <w:rtl w:val="0"/>
          <w:lang w:val="en-US"/>
        </w:rPr>
        <w:t xml:space="preserve">— </w:t>
      </w:r>
      <w:r>
        <w:rPr>
          <w:rtl w:val="0"/>
        </w:rPr>
        <w:t>Lesson 7 start (2026-09-11)</w:t>
      </w:r>
    </w:p>
    <w:p>
      <w:pPr>
        <w:pStyle w:val="First Paragraph"/>
      </w:pPr>
      <w:r>
        <w:rPr>
          <w:rtl w:val="0"/>
          <w:lang w:val="en-US"/>
        </w:rPr>
        <w:t>Tags: #NHANES #mixed-models #silent-failure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0"/>
    </w:p>
    <w:p>
      <w:pPr>
        <w:pStyle w:val="Heading 2"/>
      </w:pPr>
      <w:bookmarkStart w:name="X99c08ed483fcc65f2022665243e3c89851ef553" w:id="1"/>
      <w:r>
        <w:rPr>
          <w:rFonts w:cs="Arial Unicode MS" w:eastAsia="Arial Unicode MS"/>
          <w:rtl w:val="0"/>
          <w:lang w:val="de-DE"/>
        </w:rPr>
        <w:t xml:space="preserve">Note 1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DRDINT is a restatement, not new information</w:t>
      </w:r>
    </w:p>
    <w:p>
      <w:pPr>
        <w:pStyle w:val="First Paragraph"/>
      </w:pPr>
      <w:r>
        <w:rPr>
          <w:rStyle w:val="NormalTok"/>
          <w:rtl w:val="0"/>
          <w:lang w:val="en-US"/>
        </w:rPr>
        <w:t>DRDINT</w:t>
      </w:r>
      <w:r>
        <w:rPr>
          <w:rtl w:val="0"/>
          <w:lang w:val="en-US"/>
        </w:rPr>
        <w:t xml:space="preserve"> ("number of days of intake data") has three values in DEMO_J merged data: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60"/>
        <w:gridCol w:w="3960"/>
      </w:tblGrid>
      <w:tr>
        <w:tblPrEx>
          <w:shd w:val="clear" w:color="auto" w:fill="4f81bd"/>
        </w:tblPrEx>
        <w:trPr>
          <w:trHeight w:val="28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Value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Day 1 only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1,002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Day 1 and day 2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6,639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NA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1,613</w:t>
            </w:r>
          </w:p>
        </w:tc>
      </w:tr>
    </w:tbl>
    <w:p>
      <w:pPr>
        <w:pStyle w:val="First Paragraph"/>
        <w:widowControl w:val="0"/>
      </w:pPr>
    </w:p>
    <w:p>
      <w:pPr>
        <w:pStyle w:val="Body Text"/>
      </w:pPr>
      <w:r>
        <w:rPr>
          <w:rtl w:val="0"/>
          <w:lang w:val="en-US"/>
        </w:rPr>
        <w:t xml:space="preserve">These are the same three groups defined by </w:t>
      </w:r>
      <w:r>
        <w:rPr>
          <w:rStyle w:val="NormalTok"/>
          <w:rtl w:val="0"/>
          <w:lang w:val="en-US"/>
        </w:rPr>
        <w:t>WTDR2D</w:t>
      </w:r>
      <w:r>
        <w:rPr>
          <w:rtl w:val="0"/>
          <w:lang w:val="en-US"/>
        </w:rPr>
        <w:t xml:space="preserve">: zero, positive, and NA. </w:t>
      </w:r>
      <w:r>
        <w:rPr>
          <w:rStyle w:val="NormalTok"/>
          <w:rtl w:val="0"/>
          <w:lang w:val="en-US"/>
        </w:rPr>
        <w:t>DRDINT</w:t>
      </w:r>
      <w:r>
        <w:rPr>
          <w:rtl w:val="0"/>
          <w:lang w:val="en-US"/>
        </w:rPr>
        <w:t xml:space="preserve"> adds nothing, but it is a useful independent cross-check that the weight partition was read correctly.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2"/>
      </w:pPr>
      <w:bookmarkStart w:name="Xc8e93e604691f143cb206ac776c2e9ebd9192b6" w:id="2"/>
      <w:r>
        <w:rPr>
          <w:rFonts w:cs="Arial Unicode MS" w:eastAsia="Arial Unicode MS"/>
          <w:rtl w:val="0"/>
          <w:lang w:val="de-DE"/>
        </w:rPr>
        <w:t xml:space="preserve">Note 2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Long form: one row per person per day</w:t>
      </w:r>
    </w:p>
    <w:p>
      <w:pPr>
        <w:pStyle w:val="First Paragraph"/>
      </w:pPr>
      <w:r>
        <w:rPr>
          <w:rtl w:val="0"/>
          <w:lang w:val="en-US"/>
        </w:rPr>
        <w:t xml:space="preserve">Two-day analysis needs 2 rows per person, not 1. Built with </w:t>
      </w:r>
      <w:r>
        <w:rPr>
          <w:rStyle w:val="NormalTok"/>
          <w:rtl w:val="0"/>
          <w:lang w:val="en-US"/>
        </w:rPr>
        <w:t>pivot_longer()</w:t>
      </w:r>
      <w:r>
        <w:rPr>
          <w:rtl w:val="0"/>
          <w:lang w:val="en-US"/>
        </w:rPr>
        <w:t>: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long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merged_all </w:t>
      </w:r>
      <w:r>
        <w:rPr>
          <w:rStyle w:val="String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select</w:t>
      </w:r>
      <w:r>
        <w:rPr>
          <w:rStyle w:val="NormalTok"/>
          <w:rtl w:val="0"/>
          <w:lang w:val="en-US"/>
        </w:rPr>
        <w:t xml:space="preserve">(SEQN, SDMVPSU, SDMVSTRA, WTDR2D, RIAGENDR, RIDAGEYR, age_grp, DR1TKCAL) </w:t>
      </w:r>
      <w:r>
        <w:rPr>
          <w:rStyle w:val="String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left_join</w:t>
      </w:r>
      <w:r>
        <w:rPr>
          <w:rStyle w:val="NormalTok"/>
          <w:rtl w:val="0"/>
          <w:lang w:val="en-US"/>
        </w:rPr>
        <w:t xml:space="preserve">(diet2_j </w:t>
      </w:r>
      <w:r>
        <w:rPr>
          <w:rStyle w:val="String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select</w:t>
      </w:r>
      <w:r>
        <w:rPr>
          <w:rStyle w:val="NormalTok"/>
          <w:rtl w:val="0"/>
          <w:lang w:val="en-US"/>
        </w:rPr>
        <w:t xml:space="preserve">(SEQN, DR2TKCAL), </w:t>
      </w:r>
      <w:r>
        <w:rPr>
          <w:rStyle w:val="AttributeTok"/>
          <w:rtl w:val="0"/>
          <w:lang w:val="en-US"/>
        </w:rPr>
        <w:t>by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"SEQN"</w:t>
      </w:r>
      <w:r>
        <w:rPr>
          <w:rStyle w:val="NormalTok"/>
          <w:rtl w:val="0"/>
          <w:lang w:val="en-US"/>
        </w:rPr>
        <w:t xml:space="preserve">) </w:t>
      </w:r>
      <w:r>
        <w:rPr>
          <w:rStyle w:val="String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pivot_longer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c</w:t>
      </w:r>
      <w:r>
        <w:rPr>
          <w:rStyle w:val="NormalTok"/>
          <w:rtl w:val="0"/>
          <w:lang w:val="en-US"/>
        </w:rPr>
        <w:t xml:space="preserve">(DR1TKCAL, DR2TKCAL), </w:t>
      </w:r>
      <w:r>
        <w:rPr>
          <w:rStyle w:val="AttributeTok"/>
          <w:rtl w:val="0"/>
          <w:lang w:val="en-US"/>
        </w:rPr>
        <w:t>names_to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"day"</w:t>
      </w:r>
      <w:r>
        <w:rPr>
          <w:rStyle w:val="NormalTok"/>
          <w:rtl w:val="0"/>
          <w:lang w:val="en-US"/>
        </w:rPr>
        <w:t xml:space="preserve">, </w:t>
      </w:r>
      <w:r>
        <w:rPr>
          <w:rStyle w:val="AttributeTok"/>
          <w:rtl w:val="0"/>
          <w:lang w:val="en-US"/>
        </w:rPr>
        <w:t>values_to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"kcal"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tl w:val="0"/>
          <w:lang w:val="en-US"/>
        </w:rPr>
        <w:t xml:space="preserve">Result: 18,508 rows = 9,254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2.</w:t>
      </w:r>
    </w:p>
    <w:p>
      <w:pPr>
        <w:pStyle w:val="Body Text"/>
      </w:pPr>
      <w:r>
        <w:rPr>
          <w:rtl w:val="0"/>
          <w:lang w:val="en-US"/>
        </w:rPr>
        <w:t xml:space="preserve">The weight </w:t>
      </w:r>
      <w:r>
        <w:rPr>
          <w:rStyle w:val="NormalTok"/>
          <w:rtl w:val="0"/>
          <w:lang w:val="en-US"/>
        </w:rPr>
        <w:t>WTDR2D</w:t>
      </w:r>
      <w:r>
        <w:rPr>
          <w:rtl w:val="0"/>
          <w:lang w:val="en-US"/>
        </w:rPr>
        <w:t xml:space="preserve"> repeats on both rows of a person, because the weight belongs to the person, not the day. Example SEQN 93711: 2,840 kcal / 2,819 kcal, weight 8,230 on both rows.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 2"/>
      </w:pPr>
      <w:bookmarkStart w:name="Xa62e39198992988a67d4c5cbdbc04b061a077fb" w:id="3"/>
      <w:r>
        <w:rPr>
          <w:rFonts w:cs="Arial Unicode MS" w:eastAsia="Arial Unicode MS"/>
          <w:rtl w:val="0"/>
          <w:lang w:val="de-DE"/>
        </w:rPr>
        <w:t xml:space="preserve">Note 3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The 283 rows: predicted, then confirmed</w:t>
      </w:r>
    </w:p>
    <w:p>
      <w:pPr>
        <w:pStyle w:val="First Paragraph"/>
      </w:pPr>
      <w:r>
        <w:rPr>
          <w:rtl w:val="0"/>
          <w:lang w:val="en-US"/>
        </w:rPr>
        <w:t>Cross-tabulating rows by whether they have a kcal value and whether the weight is positive: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4f81bd"/>
        </w:tblPrEx>
        <w:trPr>
          <w:trHeight w:val="28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Has kcal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Positive weight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4,239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283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991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12,995</w:t>
            </w:r>
          </w:p>
        </w:tc>
      </w:tr>
    </w:tbl>
    <w:p>
      <w:pPr>
        <w:pStyle w:val="First Paragraph"/>
        <w:widowControl w:val="0"/>
      </w:pPr>
    </w:p>
    <w:p>
      <w:pPr>
        <w:pStyle w:val="Body Text"/>
      </w:pPr>
      <w:r>
        <w:rPr>
          <w:rtl w:val="0"/>
          <w:lang w:val="en-US"/>
        </w:rPr>
        <w:t xml:space="preserve">The 283 was predicted from the breast-milk cross-tab before it was counted: 135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2 (breast-milk both days) + 11 (day-1 row only) + 2 (day-2 row only) = 283. The prediction held exactly.</w:t>
      </w:r>
    </w:p>
    <w:p>
      <w:pPr>
        <w:pStyle w:val="Body Text"/>
      </w:pPr>
      <w:r>
        <w:rPr>
          <w:rtl w:val="0"/>
          <w:lang w:val="en-US"/>
        </w:rPr>
        <w:t>These rows carry positive survey weights, so they represent real people, but have no outcome value.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 2"/>
      </w:pPr>
      <w:bookmarkStart w:name="X0cb16edd35c85a2eb6756de51b2f166587ad6d0" w:id="4"/>
      <w:r>
        <w:rPr>
          <w:rFonts w:cs="Arial Unicode MS" w:eastAsia="Arial Unicode MS"/>
          <w:rtl w:val="0"/>
          <w:lang w:val="de-DE"/>
        </w:rPr>
        <w:t xml:space="preserve">Note 4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lmer() drops rows on the outcome only, silently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m1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lmer</w:t>
      </w:r>
      <w:r>
        <w:rPr>
          <w:rStyle w:val="NormalTok"/>
          <w:rtl w:val="0"/>
          <w:lang w:val="en-US"/>
        </w:rPr>
        <w:t xml:space="preserve">(kcal </w:t>
      </w:r>
      <w:r>
        <w:rPr>
          <w:rStyle w:val="String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 xml:space="preserve"> day </w:t>
      </w:r>
      <w:r>
        <w:rPr>
          <w:rStyle w:val="StringTok"/>
          <w:rtl w:val="0"/>
          <w:lang w:val="en-US"/>
        </w:rPr>
        <w:t>+</w:t>
      </w:r>
      <w:r>
        <w:rPr>
          <w:rStyle w:val="NormalTok"/>
          <w:rtl w:val="0"/>
          <w:lang w:val="en-US"/>
        </w:rPr>
        <w:t xml:space="preserve"> (</w:t>
      </w:r>
      <w:r>
        <w:rPr>
          <w:rStyle w:val="DecValTok"/>
          <w:rtl w:val="0"/>
          <w:lang w:val="en-US"/>
        </w:rPr>
        <w:t>1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SEQN), </w:t>
      </w:r>
      <w:r>
        <w:rPr>
          <w:rStyle w:val="AttributeTok"/>
          <w:rtl w:val="0"/>
          <w:lang w:val="en-US"/>
        </w:rPr>
        <w:t>data =</w:t>
      </w:r>
      <w:r>
        <w:rPr>
          <w:rStyle w:val="NormalTok"/>
          <w:rtl w:val="0"/>
          <w:lang w:val="en-US"/>
        </w:rPr>
        <w:t xml:space="preserve"> long)</w:t>
      </w:r>
      <w:r>
        <w:br w:type="textWrapping"/>
      </w:r>
      <w:r>
        <w:rPr>
          <w:rStyle w:val="FunctionTok"/>
          <w:rtl w:val="0"/>
          <w:lang w:val="en-US"/>
        </w:rPr>
        <w:t>nobs</w:t>
      </w:r>
      <w:r>
        <w:rPr>
          <w:rStyle w:val="NormalTok"/>
          <w:rtl w:val="0"/>
          <w:lang w:val="en-US"/>
        </w:rPr>
        <w:t xml:space="preserve">(m1)   </w:t>
      </w:r>
      <w:r>
        <w:rPr>
          <w:rStyle w:val="CommentTok"/>
          <w:rtl w:val="0"/>
          <w:lang w:val="en-US"/>
        </w:rPr>
        <w:t># 13,986 of 18,508</w:t>
      </w:r>
    </w:p>
    <w:p>
      <w:pPr>
        <w:pStyle w:val="First Paragraph"/>
      </w:pPr>
      <w:r>
        <w:rPr>
          <w:rtl w:val="0"/>
          <w:lang w:val="en-US"/>
        </w:rPr>
        <w:t xml:space="preserve">4,522 rows dropped. No warning, no message. The dropped set is defined purely by </w:t>
      </w:r>
      <w:r>
        <w:rPr>
          <w:rStyle w:val="NormalTok"/>
          <w:rtl w:val="0"/>
          <w:lang w:val="en-US"/>
        </w:rPr>
        <w:t>is.na(kcal)</w:t>
      </w:r>
      <w:r>
        <w:rPr>
          <w:rtl w:val="0"/>
          <w:lang w:val="en-US"/>
        </w:rPr>
        <w:t>: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long </w:t>
      </w:r>
      <w:r>
        <w:rPr>
          <w:rStyle w:val="String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filter</w:t>
      </w:r>
      <w:r>
        <w:rPr>
          <w:rStyle w:val="NormalTok"/>
          <w:rtl w:val="0"/>
          <w:lang w:val="en-US"/>
        </w:rPr>
        <w:t>(</w:t>
      </w:r>
      <w:r>
        <w:rPr>
          <w:rStyle w:val="StringTok"/>
          <w:rtl w:val="0"/>
          <w:lang w:val="en-US"/>
        </w:rPr>
        <w:t>!</w:t>
      </w:r>
      <w:r>
        <w:rPr>
          <w:rStyle w:val="FunctionTok"/>
          <w:rtl w:val="0"/>
          <w:lang w:val="en-US"/>
        </w:rPr>
        <w:t>is.na</w:t>
      </w:r>
      <w:r>
        <w:rPr>
          <w:rStyle w:val="NormalTok"/>
          <w:rtl w:val="0"/>
          <w:lang w:val="en-US"/>
        </w:rPr>
        <w:t xml:space="preserve">(kcal)) </w:t>
      </w:r>
      <w:r>
        <w:rPr>
          <w:rStyle w:val="String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nrow</w:t>
      </w:r>
      <w:r>
        <w:rPr>
          <w:rStyle w:val="NormalTok"/>
          <w:rtl w:val="0"/>
          <w:lang w:val="en-US"/>
        </w:rPr>
        <w:t xml:space="preserve">()   </w:t>
      </w:r>
      <w:r>
        <w:rPr>
          <w:rStyle w:val="CommentTok"/>
          <w:rtl w:val="0"/>
          <w:lang w:val="en-US"/>
        </w:rPr>
        <w:t xml:space="preserve"># 13,986 </w:t>
      </w:r>
      <w:r>
        <w:rPr>
          <w:rStyle w:val="CommentTok"/>
          <w:rtl w:val="0"/>
          <w:lang w:val="en-US"/>
        </w:rPr>
        <w:t xml:space="preserve">— </w:t>
      </w:r>
      <w:r>
        <w:rPr>
          <w:rStyle w:val="CommentTok"/>
          <w:rtl w:val="0"/>
          <w:lang w:val="en-US"/>
        </w:rPr>
        <w:t>exact match</w:t>
      </w:r>
    </w:p>
    <w:p>
      <w:pPr>
        <w:pStyle w:val="First Paragraph"/>
      </w:pPr>
      <w:r>
        <w:rPr>
          <w:rFonts w:ascii="Cambria Bold" w:hAnsi="Cambria Bold"/>
          <w:rtl w:val="0"/>
          <w:lang w:val="en-US"/>
        </w:rPr>
        <w:t>The mismatch.</w:t>
      </w:r>
      <w:r>
        <w:rPr>
          <w:rtl w:val="0"/>
          <w:lang w:val="en-US"/>
        </w:rPr>
        <w:t xml:space="preserve"> The model keeps 991 zero-weight rows (representing nobody) and drops 283 positive-weight rows (representing real people). The model's population and the weighted population are different, and nothing in the output says so.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Heading 2"/>
      </w:pPr>
      <w:bookmarkStart w:name="X56aad30715b6c292bdaa298c6b46d1bc60ac1f8" w:id="5"/>
      <w:r>
        <w:rPr>
          <w:rFonts w:cs="Arial Unicode MS" w:eastAsia="Arial Unicode MS"/>
          <w:rtl w:val="0"/>
          <w:lang w:val="de-DE"/>
        </w:rPr>
        <w:t xml:space="preserve">Note 5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What the unweighted mixed model says</w:t>
      </w:r>
    </w:p>
    <w:p>
      <w:pPr>
        <w:pStyle w:val="Source Code"/>
      </w:pPr>
      <w:r>
        <w:rPr>
          <w:rStyle w:val="NormalTok"/>
          <w:rtl w:val="0"/>
          <w:lang w:val="en-US"/>
        </w:rPr>
        <w:t>Fixed effects:</w:t>
      </w:r>
      <w:r>
        <w:br w:type="textWrapping"/>
      </w:r>
      <w:r>
        <w:rPr>
          <w:rStyle w:val="NormalTok"/>
          <w:rtl w:val="0"/>
          <w:lang w:val="en-US"/>
        </w:rPr>
        <w:t>(Intercept)   1984.56   SE 10.93   t 181.62</w:t>
      </w:r>
      <w:r>
        <w:br w:type="textWrapping"/>
      </w:r>
      <w:r>
        <w:rPr>
          <w:rStyle w:val="NormalTok"/>
          <w:rtl w:val="0"/>
          <w:lang w:val="en-US"/>
        </w:rPr>
        <w:t>dayDR2TKCAL   -183.23   SE 11.73   t -15.62</w:t>
      </w:r>
      <w:r>
        <w:br w:type="textWrapping"/>
        <w:br w:type="textWrapping"/>
      </w:r>
      <w:r>
        <w:rPr>
          <w:rStyle w:val="NormalTok"/>
          <w:rtl w:val="0"/>
          <w:lang w:val="en-US"/>
        </w:rPr>
        <w:t>Random effects:</w:t>
      </w:r>
      <w:r>
        <w:br w:type="textWrapping"/>
      </w:r>
      <w:r>
        <w:rPr>
          <w:rStyle w:val="NormalTok"/>
          <w:rtl w:val="0"/>
          <w:lang w:val="en-US"/>
        </w:rPr>
        <w:t>SEQN (Intercept)  variance 431,215  (SD 657)</w:t>
      </w:r>
      <w:r>
        <w:br w:type="textWrapping"/>
      </w:r>
      <w:r>
        <w:rPr>
          <w:rStyle w:val="NormalTok"/>
          <w:rtl w:val="0"/>
          <w:lang w:val="en-US"/>
        </w:rPr>
        <w:t>Residual          variance 462,671  (SD 680)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Day 1 average: 1,984.6 kcal.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Day 2 is 183 kcal lower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the known second-recall reporting effect.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Between-person and within-person variance are nearly equal (431k vs 463k). </w:t>
      </w:r>
      <w:r>
        <w:rPr>
          <w:rFonts w:ascii="Cambria Bold" w:hAnsi="Cambria Bold"/>
          <w:rtl w:val="0"/>
          <w:lang w:val="en-US"/>
        </w:rPr>
        <w:t>About half the variation in a single 24-hour recall is the same person eating differently on a different day.</w:t>
      </w:r>
      <w:r>
        <w:rPr>
          <w:rtl w:val="0"/>
          <w:lang w:val="en-US"/>
        </w:rPr>
        <w:t xml:space="preserve"> This is the quantitative argument for two recall days.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The intercept 1,984.6 is close to the unweighted mean (1,985.2) and far from the design-based mean (2,075.8). The model ignores the weights entirely.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"/>
    </w:p>
    <w:p>
      <w:pPr>
        <w:pStyle w:val="Heading 2"/>
      </w:pPr>
      <w:bookmarkStart w:name="X71f18a7b76481f602bd3f16564dfc83cfc70f08" w:id="6"/>
      <w:r>
        <w:rPr>
          <w:rFonts w:cs="Arial Unicode MS" w:eastAsia="Arial Unicode MS"/>
          <w:rtl w:val="0"/>
          <w:lang w:val="de-DE"/>
        </w:rPr>
        <w:t xml:space="preserve">Note 6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lmer(weights =) silently reinterprets survey weights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m2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lmer</w:t>
      </w:r>
      <w:r>
        <w:rPr>
          <w:rStyle w:val="NormalTok"/>
          <w:rtl w:val="0"/>
          <w:lang w:val="en-US"/>
        </w:rPr>
        <w:t xml:space="preserve">(kcal </w:t>
      </w:r>
      <w:r>
        <w:rPr>
          <w:rStyle w:val="String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 xml:space="preserve"> day </w:t>
      </w:r>
      <w:r>
        <w:rPr>
          <w:rStyle w:val="StringTok"/>
          <w:rtl w:val="0"/>
          <w:lang w:val="en-US"/>
        </w:rPr>
        <w:t>+</w:t>
      </w:r>
      <w:r>
        <w:rPr>
          <w:rStyle w:val="NormalTok"/>
          <w:rtl w:val="0"/>
          <w:lang w:val="en-US"/>
        </w:rPr>
        <w:t xml:space="preserve"> (</w:t>
      </w:r>
      <w:r>
        <w:rPr>
          <w:rStyle w:val="DecValTok"/>
          <w:rtl w:val="0"/>
          <w:lang w:val="en-US"/>
        </w:rPr>
        <w:t>1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SEQN), </w:t>
      </w:r>
      <w:r>
        <w:rPr>
          <w:rStyle w:val="AttributeTok"/>
          <w:rtl w:val="0"/>
          <w:lang w:val="en-US"/>
        </w:rPr>
        <w:t>data =</w:t>
      </w:r>
      <w:r>
        <w:rPr>
          <w:rStyle w:val="NormalTok"/>
          <w:rtl w:val="0"/>
          <w:lang w:val="en-US"/>
        </w:rPr>
        <w:t xml:space="preserve"> long, </w:t>
      </w:r>
      <w:r>
        <w:rPr>
          <w:rStyle w:val="AttributeTok"/>
          <w:rtl w:val="0"/>
          <w:lang w:val="en-US"/>
        </w:rPr>
        <w:t>weights =</w:t>
      </w:r>
      <w:r>
        <w:rPr>
          <w:rStyle w:val="NormalTok"/>
          <w:rtl w:val="0"/>
          <w:lang w:val="en-US"/>
        </w:rPr>
        <w:t xml:space="preserve"> WTDR2D)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4f81bd"/>
        </w:tblPrEx>
        <w:trPr>
          <w:trHeight w:val="28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Unweighted (m1)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"Weighted" (m2)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Intercept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1,984.6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1,977.0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Day 2 effect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−</w:t>
            </w:r>
            <w:r>
              <w:rPr>
                <w:shd w:val="nil" w:color="auto" w:fill="auto"/>
                <w:rtl w:val="0"/>
                <w:lang w:val="en-US"/>
              </w:rPr>
              <w:t>183.2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−</w:t>
            </w:r>
            <w:r>
              <w:rPr>
                <w:shd w:val="nil" w:color="auto" w:fill="auto"/>
                <w:rtl w:val="0"/>
                <w:lang w:val="en-US"/>
              </w:rPr>
              <w:t>162.4</w:t>
            </w:r>
          </w:p>
        </w:tc>
      </w:tr>
    </w:tbl>
    <w:p>
      <w:pPr>
        <w:pStyle w:val="Source Code"/>
        <w:widowControl w:val="0"/>
      </w:pPr>
    </w:p>
    <w:p>
      <w:pPr>
        <w:pStyle w:val="Body Text"/>
      </w:pPr>
      <w:r>
        <w:rPr>
          <w:rStyle w:val="NormalTok"/>
          <w:rtl w:val="0"/>
          <w:lang w:val="en-US"/>
        </w:rPr>
        <w:t>lme4</w:t>
      </w:r>
      <w:r>
        <w:rPr>
          <w:rtl w:val="0"/>
          <w:lang w:val="en-US"/>
        </w:rPr>
        <w:t xml:space="preserve"> treats </w:t>
      </w:r>
      <w:r>
        <w:rPr>
          <w:rStyle w:val="NormalTok"/>
          <w:rtl w:val="0"/>
          <w:lang w:val="en-US"/>
        </w:rPr>
        <w:t>weights =</w:t>
      </w:r>
      <w:r>
        <w:rPr>
          <w:rtl w:val="0"/>
          <w:lang w:val="en-US"/>
        </w:rPr>
        <w:t xml:space="preserve"> as </w:t>
      </w:r>
      <w:r>
        <w:rPr>
          <w:rFonts w:ascii="Cambria Bold" w:hAnsi="Cambria Bold"/>
          <w:rtl w:val="0"/>
          <w:lang w:val="en-US"/>
        </w:rPr>
        <w:t>precision weights</w:t>
      </w:r>
      <w:r>
        <w:rPr>
          <w:rtl w:val="0"/>
          <w:lang w:val="en-US"/>
        </w:rPr>
        <w:t xml:space="preserve"> ("this observation was measured more accurately"), not </w:t>
      </w:r>
      <w:r>
        <w:rPr>
          <w:rFonts w:ascii="Cambria Bold" w:hAnsi="Cambria Bold"/>
          <w:rtl w:val="0"/>
          <w:lang w:val="en-US"/>
        </w:rPr>
        <w:t>survey weights</w:t>
      </w:r>
      <w:r>
        <w:rPr>
          <w:rtl w:val="0"/>
          <w:lang w:val="en-US"/>
        </w:rPr>
        <w:t xml:space="preserve"> ("this person represents 8,230 people"). It does not distinguish the two and gives no warning.</w:t>
      </w:r>
    </w:p>
    <w:p>
      <w:pPr>
        <w:pStyle w:val="Body Text"/>
      </w:pPr>
      <w:r>
        <w:rPr>
          <w:rFonts w:ascii="Cambria Bold" w:hAnsi="Cambria Bold"/>
          <w:rtl w:val="0"/>
          <w:lang w:val="en-US"/>
        </w:rPr>
        <w:t>The visible damage: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             Estimate   Std. Error   t value</w:t>
      </w:r>
      <w:r>
        <w:br w:type="textWrapping"/>
      </w:r>
      <w:r>
        <w:rPr>
          <w:rStyle w:val="NormalTok"/>
          <w:rtl w:val="0"/>
          <w:lang w:val="en-US"/>
        </w:rPr>
        <w:t>(Intercept)  1977.03    2202.02      0.898</w:t>
      </w:r>
      <w:r>
        <w:br w:type="textWrapping"/>
      </w:r>
      <w:r>
        <w:rPr>
          <w:rStyle w:val="NormalTok"/>
          <w:rtl w:val="0"/>
          <w:lang w:val="en-US"/>
        </w:rPr>
        <w:t>dayDR2TKCAL  -162.37       8.05    -20.176</w:t>
      </w:r>
    </w:p>
    <w:p>
      <w:pPr>
        <w:pStyle w:val="First Paragraph"/>
      </w:pPr>
      <w:r>
        <w:rPr>
          <w:rtl w:val="0"/>
          <w:lang w:val="en-US"/>
        </w:rPr>
        <w:t xml:space="preserve">The intercept SE (2,202) is larger than the estimate (1,977), implying mean calorie intake is indistinguishable from zero. Meanwhile the day-2 effect's SE (8.05) looks entirely reasonable. </w:t>
      </w:r>
      <w:r>
        <w:rPr>
          <w:rFonts w:ascii="Cambria Bold" w:hAnsi="Cambria Bold"/>
          <w:rtl w:val="0"/>
          <w:lang w:val="en-US"/>
        </w:rPr>
        <w:t>One coefficient is visibly broken while the other looks fine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easy to miss in a results table.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Heading 2"/>
      </w:pPr>
      <w:bookmarkStart w:name="note7thefourmodelcomparisonplan" w:id="7"/>
      <w:r>
        <w:rPr>
          <w:rFonts w:cs="Arial Unicode MS" w:eastAsia="Arial Unicode MS"/>
          <w:rtl w:val="0"/>
          <w:lang w:val="en-US"/>
        </w:rPr>
        <w:t xml:space="preserve">Note 7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The four-model comparison plan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0"/>
        <w:gridCol w:w="1980"/>
        <w:gridCol w:w="1980"/>
        <w:gridCol w:w="1980"/>
      </w:tblGrid>
      <w:tr>
        <w:tblPrEx>
          <w:shd w:val="clear" w:color="auto" w:fill="4f81bd"/>
        </w:tblPrEx>
        <w:trPr>
          <w:trHeight w:val="280" w:hRule="atLeast"/>
          <w:tblHeader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Approach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Weights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Strata/clusters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lmer()</w:t>
            </w:r>
            <w:r>
              <w:rPr>
                <w:shd w:val="nil" w:color="auto" w:fill="auto"/>
                <w:rtl w:val="0"/>
                <w:lang w:val="en-US"/>
              </w:rPr>
              <w:t xml:space="preserve"> plain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ignored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ignored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done (m1)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lmer(weights=)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misinterpreted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ignored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done (m2)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WeMix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survey weights, multi-level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ignored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next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svylme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survey weights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after</w:t>
            </w:r>
          </w:p>
        </w:tc>
      </w:tr>
    </w:tbl>
    <w:p>
      <w:pPr>
        <w:pStyle w:val="Heading 2"/>
        <w:widowControl w:val="0"/>
      </w:pPr>
    </w:p>
    <w:p>
      <w:pPr>
        <w:pStyle w:val="Body Text"/>
      </w:pPr>
      <w:r>
        <w:rPr>
          <w:rtl w:val="0"/>
          <w:lang w:val="en-US"/>
        </w:rPr>
        <w:t>All four run without error. The point of fitting all four is to show how much the answer depends on which tool is chosen.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"/>
    </w:p>
    <w:p>
      <w:pPr>
        <w:pStyle w:val="Heading 2"/>
      </w:pPr>
      <w:bookmarkStart w:name="taxonomyadditions" w:id="8"/>
      <w:r>
        <w:rPr>
          <w:rFonts w:cs="Arial Unicode MS" w:eastAsia="Arial Unicode MS"/>
          <w:rtl w:val="0"/>
          <w:lang w:val="en-US"/>
        </w:rPr>
        <w:t>Taxonomy additions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lmer() drops rows on the outcome only.</w:t>
      </w:r>
      <w:r>
        <w:rPr>
          <w:rtl w:val="0"/>
          <w:lang w:val="en-US"/>
        </w:rPr>
        <w:t xml:space="preserve"> Missingness in the outcome silently removes rows regardless of survey weight, so positive-weight people vanish while zero-weight people remain.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weights = means different things in different packages.</w:t>
      </w:r>
      <w:r>
        <w:rPr>
          <w:rtl w:val="0"/>
          <w:lang w:val="en-US"/>
        </w:rPr>
        <w:t xml:space="preserve"> </w:t>
      </w:r>
      <w:r>
        <w:rPr>
          <w:rStyle w:val="NormalTok"/>
          <w:rtl w:val="0"/>
          <w:lang w:val="en-US"/>
        </w:rPr>
        <w:t>lme4</w:t>
      </w:r>
      <w:r>
        <w:rPr>
          <w:rtl w:val="0"/>
          <w:lang w:val="en-US"/>
        </w:rPr>
        <w:t xml:space="preserve"> reads survey weights as precision weights, runs cleanly, and returns an intercept SE larger than the estimate.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"/>
    </w:p>
    <w:p>
      <w:pPr>
        <w:pStyle w:val="Heading 2"/>
      </w:pPr>
      <w:bookmarkStart w:name="nextsteps" w:id="9"/>
      <w:r>
        <w:rPr>
          <w:rFonts w:cs="Arial Unicode MS" w:eastAsia="Arial Unicode MS"/>
          <w:rtl w:val="0"/>
          <w:lang w:val="en-US"/>
        </w:rPr>
        <w:t>Next steps</w:t>
      </w:r>
    </w:p>
    <w:p>
      <w:pPr>
        <w:pStyle w:val="Compact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 xml:space="preserve">Install and fit </w:t>
      </w:r>
      <w:r>
        <w:rPr>
          <w:rStyle w:val="NormalTok"/>
          <w:rtl w:val="0"/>
          <w:lang w:val="en-US"/>
        </w:rPr>
        <w:t>WeMix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 xml:space="preserve">Fit </w:t>
      </w:r>
      <w:r>
        <w:rPr>
          <w:rStyle w:val="NormalTok"/>
          <w:rtl w:val="0"/>
          <w:lang w:val="en-US"/>
        </w:rPr>
        <w:t>svylme</w:t>
      </w:r>
      <w:r>
        <w:rPr>
          <w:rtl w:val="0"/>
          <w:lang w:val="en-US"/>
        </w:rPr>
        <w:t xml:space="preserve"> and compare all four side by side.</w:t>
      </w:r>
    </w:p>
    <w:p>
      <w:pPr>
        <w:pStyle w:val="Compact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>Decide how the 283 breast-milk rows are handled, and report it explicitly.</w:t>
      </w:r>
      <w:bookmarkEnd w:id="9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7"/>
    </w:lvlOverride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character" w:styleId="NormalTok">
    <w:name w:val="NormalTok"/>
    <w:rPr>
      <w:rFonts w:ascii="Consolas" w:cs="Consolas" w:hAnsi="Consolas" w:eastAsia="Consolas"/>
      <w:sz w:val="22"/>
      <w:szCs w:val="22"/>
      <w:lang w:val="en-US"/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OtherTok">
    <w:name w:val="OtherTok"/>
    <w:rPr>
      <w:rFonts w:ascii="Consolas" w:cs="Consolas" w:hAnsi="Consolas" w:eastAsia="Consolas"/>
      <w:outline w:val="0"/>
      <w:color w:val="007020"/>
      <w:sz w:val="22"/>
      <w:szCs w:val="22"/>
      <w:u w:color="007020"/>
      <w:lang w:val="en-US"/>
      <w14:textFill>
        <w14:solidFill>
          <w14:srgbClr w14:val="007020"/>
        </w14:solidFill>
      </w14:textFill>
    </w:rPr>
  </w:style>
  <w:style w:type="character" w:styleId="StringTok">
    <w:name w:val="StringTok"/>
    <w:rPr>
      <w:rFonts w:ascii="Consolas" w:cs="Consolas" w:hAnsi="Consolas" w:eastAsia="Consolas"/>
      <w:outline w:val="0"/>
      <w:color w:val="4070a0"/>
      <w:sz w:val="22"/>
      <w:szCs w:val="22"/>
      <w:u w:color="4070a0"/>
      <w:lang w:val="en-US"/>
      <w14:textFill>
        <w14:solidFill>
          <w14:srgbClr w14:val="4070A0"/>
        </w14:solidFill>
      </w14:textFill>
    </w:rPr>
  </w:style>
  <w:style w:type="character" w:styleId="FunctionTok">
    <w:name w:val="FunctionTok"/>
    <w:rPr>
      <w:rFonts w:ascii="Consolas" w:cs="Consolas" w:hAnsi="Consolas" w:eastAsia="Consolas"/>
      <w:outline w:val="0"/>
      <w:color w:val="06287e"/>
      <w:sz w:val="22"/>
      <w:szCs w:val="22"/>
      <w:u w:color="06287e"/>
      <w:lang w:val="en-US"/>
      <w14:textFill>
        <w14:solidFill>
          <w14:srgbClr w14:val="06287E"/>
        </w14:solidFill>
      </w14:textFill>
    </w:rPr>
  </w:style>
  <w:style w:type="character" w:styleId="AttributeTok">
    <w:name w:val="AttributeTok"/>
    <w:rPr>
      <w:rFonts w:ascii="Consolas" w:cs="Consolas" w:hAnsi="Consolas" w:eastAsia="Consolas"/>
      <w:outline w:val="0"/>
      <w:color w:val="7d9029"/>
      <w:sz w:val="22"/>
      <w:szCs w:val="22"/>
      <w:u w:color="7d9029"/>
      <w:lang w:val="en-US"/>
      <w14:textFill>
        <w14:solidFill>
          <w14:srgbClr w14:val="7D9029"/>
        </w14:solidFill>
      </w14:textFill>
    </w:rPr>
  </w:style>
  <w:style w:type="character" w:styleId="DecValTok">
    <w:name w:val="DecValTok"/>
    <w:rPr>
      <w:rFonts w:ascii="Consolas" w:cs="Consolas" w:hAnsi="Consolas" w:eastAsia="Consolas"/>
      <w:outline w:val="0"/>
      <w:color w:val="40a070"/>
      <w:sz w:val="22"/>
      <w:szCs w:val="22"/>
      <w:u w:color="40a070"/>
      <w:lang w:val="en-US"/>
      <w14:textFill>
        <w14:solidFill>
          <w14:srgbClr w14:val="40A070"/>
        </w14:solidFill>
      </w14:textFill>
    </w:rPr>
  </w:style>
  <w:style w:type="character" w:styleId="CommentTok">
    <w:name w:val="CommentTok"/>
    <w:rPr>
      <w:rFonts w:ascii="Consolas" w:cs="Consolas" w:hAnsi="Consolas" w:eastAsia="Consolas"/>
      <w:i w:val="1"/>
      <w:iCs w:val="1"/>
      <w:outline w:val="0"/>
      <w:color w:val="60a0b0"/>
      <w:sz w:val="22"/>
      <w:szCs w:val="22"/>
      <w:u w:color="60a0b0"/>
      <w:lang w:val="en-US"/>
      <w14:textFill>
        <w14:solidFill>
          <w14:srgbClr w14:val="60A0B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