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line="480"/>
      </w:pPr>
      <w:r>
        <w:t xml:space="preserve">Atomic notes — 2 September 2026</w:t>
      </w:r>
    </w:p>
    <w:p>
      <w:pPr>
        <w:spacing w:after="40"/>
      </w:pPr>
      <w:r>
        <w:rPr>
          <w:i/>
          <w:iCs/>
          <w:color w:val="555555"/>
        </w:rPr>
        <w:t xml:space="preserve">NHANES 2017–2018 — design-based inference vs. model-based mixed effects</w:t>
      </w:r>
    </w:p>
    <w:p>
      <w:pPr>
        <w:pBdr>
          <w:bottom w:val="single" w:color="999999" w:sz="6" w:space="8"/>
        </w:pBdr>
        <w:spacing w:after="300"/>
      </w:pPr>
      <w:r>
        <w:rPr>
          <w:color w:val="555555"/>
          <w:sz w:val="20"/>
          <w:szCs w:val="20"/>
        </w:rPr>
        <w:t xml:space="preserve">Lesson 5 — construction of the two-day dietary design object (diet_design_2d)</w:t>
      </w:r>
    </w:p>
    <w:p>
      <w:pPr>
        <w:pStyle w:val="Heading2"/>
        <w:spacing w:after="80" w:before="360"/>
      </w:pPr>
      <w:r>
        <w:t xml:space="preserve">1. WTDR2D partitions three ways, not two</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#nhanes #weights #missingness</w:t>
      </w:r>
      <w:r>
        <w:rPr>
          <w:i/>
          <w:iCs/>
          <w:color w:val="666666"/>
          <w:sz w:val="18"/>
          <w:szCs w:val="18"/>
        </w:rPr>
        <w:t xml:space="preserve">   |   links: </w:t>
      </w:r>
      <w:r>
        <w:rPr>
          <w:i/>
          <w:iCs/>
          <w:color w:val="666666"/>
          <w:sz w:val="18"/>
          <w:szCs w:val="18"/>
        </w:rPr>
        <w:t xml:space="preserve">[[Design variables carry missingness information]]</w:t>
      </w:r>
    </w:p>
    <w:p>
      <w:pPr>
        <w:spacing w:after="120"/>
      </w:pPr>
      <w:r>
        <w:t xml:space="preserve">The two-day dietary weight WTDR2D splits the 9,254 DEMO_J records into three disjoint groups, and the distinction between the second and third matters for how the design object is built.</w:t>
      </w:r>
    </w:p>
    <w:p>
      <w:pPr>
        <w:shd w:fill="F4F4F2" w:val="clear"/>
        <w:spacing w:after="0" w:before="60"/>
        <w:ind w:left="240"/>
      </w:pPr>
      <w:r>
        <w:rPr>
          <w:rFonts w:ascii="Courier New" w:cs="Courier New" w:eastAsia="Courier New" w:hAnsi="Courier New"/>
          <w:sz w:val="18"/>
          <w:szCs w:val="18"/>
        </w:rPr>
        <w:t xml:space="preserve">summary(merged_all$WTDR2D)        # 1,613 NAs</w:t>
      </w:r>
    </w:p>
    <w:p>
      <w:pPr>
        <w:shd w:fill="F4F4F2" w:val="clear"/>
        <w:spacing w:after="0" w:before="0"/>
        <w:ind w:left="240"/>
      </w:pPr>
      <w:r>
        <w:rPr>
          <w:rFonts w:ascii="Courier New" w:cs="Courier New" w:eastAsia="Courier New" w:hAnsi="Courier New"/>
          <w:sz w:val="18"/>
          <w:szCs w:val="18"/>
        </w:rPr>
        <w:t xml:space="preserve">sum(merged_all$WTDR2D &gt; 0, na.rm = TRUE)   # 6,639</w:t>
      </w:r>
    </w:p>
    <w:p>
      <w:pPr>
        <w:shd w:fill="F4F4F2" w:val="clear"/>
        <w:spacing w:after="140" w:before="0"/>
        <w:ind w:left="240"/>
      </w:pPr>
      <w:r>
        <w:rPr>
          <w:rFonts w:ascii="Courier New" w:cs="Courier New" w:eastAsia="Courier New" w:hAnsi="Courier New"/>
          <w:sz w:val="18"/>
          <w:szCs w:val="18"/>
        </w:rPr>
        <w:t xml:space="preserve"># 9,254 - 1,613 = 7,641 non-missing; 7,641 - 6,639 = 1,002 exact zeros</w:t>
      </w:r>
    </w:p>
    <w:p>
      <w:pPr>
        <w:spacing w:after="120"/>
      </w:pPr>
      <w:r>
        <w:t xml:space="preserve">1,613 missing: never entered the dietary component at all (550 MEC non-attendees + 976 recall not done + 87 unreliable). 1,002 exact zeros: completed day 1, did not return for day 2. 6,639 positive: completed both days and contribute to two-day estimates.</w:t>
      </w:r>
    </w:p>
    <w:p>
      <w:pPr>
        <w:spacing w:after="120"/>
      </w:pPr>
      <w:r>
        <w:t xml:space="preserve">The 157 breast-milk cases are absent from the missing set — they carry a WTDR2D value rather than an NA, which is consistent with their being structurally distinct from nonresponse.</w:t>
      </w:r>
    </w:p>
    <w:p>
      <w:pPr>
        <w:pStyle w:val="Heading2"/>
        <w:spacing w:after="80" w:before="360"/>
      </w:pPr>
      <w:r>
        <w:t xml:space="preserve">2. NHANES encodes day-2 attrition as a zero weight, not a missing value</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#nhanes #weights #recode</w:t>
      </w:r>
      <w:r>
        <w:rPr>
          <w:i/>
          <w:iCs/>
          <w:color w:val="666666"/>
          <w:sz w:val="18"/>
          <w:szCs w:val="18"/>
        </w:rPr>
        <w:t xml:space="preserve">   |   links: </w:t>
      </w:r>
      <w:r>
        <w:rPr>
          <w:i/>
          <w:iCs/>
          <w:color w:val="666666"/>
          <w:sz w:val="18"/>
          <w:szCs w:val="18"/>
        </w:rPr>
        <w:t xml:space="preserve">[[WTDRD1 NA-to-zero recode]]</w:t>
      </w:r>
    </w:p>
    <w:p>
      <w:pPr>
        <w:spacing w:after="120"/>
      </w:pPr>
      <w:r>
        <w:t xml:space="preserve">The 1,002 day-2 dropouts appear as exact zeros in WTDR2D, whereas people who never entered the dietary component appear as NA. Two conceptually different kinds of “no weight” live in the same column, and only one of them is missingness in the ordinary sense.</w:t>
      </w:r>
    </w:p>
    <w:p>
      <w:pPr>
        <w:spacing w:after="120"/>
      </w:pPr>
      <w:r>
        <w:t xml:space="preserve">This is why the NA-to-zero recode applied to WTDRD1 must also be applied to WTDR2D: the two columns have to agree on a single convention before svydesign() sees them. A record that is zero-weighted in one column and NA in the other would be handled inconsistently across the two design objects, and the discrepancy would not announce itself.</w:t>
      </w:r>
    </w:p>
    <w:p>
      <w:pPr>
        <w:pStyle w:val="Heading2"/>
        <w:spacing w:after="80" w:before="360"/>
      </w:pPr>
      <w:r>
        <w:t xml:space="preserve">3. The day-1 and day-2 eligible sets are identical (n = 7,641)</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#nhanes #weights #panel-structure</w:t>
      </w:r>
    </w:p>
    <w:p>
      <w:pPr>
        <w:shd w:fill="F4F4F2" w:val="clear"/>
        <w:spacing w:after="0" w:before="60"/>
        <w:ind w:left="240"/>
      </w:pPr>
      <w:r>
        <w:rPr>
          <w:rFonts w:ascii="Courier New" w:cs="Courier New" w:eastAsia="Courier New" w:hAnsi="Courier New"/>
          <w:sz w:val="18"/>
          <w:szCs w:val="18"/>
        </w:rPr>
        <w:t xml:space="preserve">sum(merged_all$WTDRD1 &gt; 0)   # 7,641</w:t>
      </w:r>
    </w:p>
    <w:p>
      <w:pPr>
        <w:shd w:fill="F4F4F2" w:val="clear"/>
        <w:spacing w:after="140" w:before="0"/>
        <w:ind w:left="240"/>
      </w:pPr>
      <w:r>
        <w:rPr>
          <w:rFonts w:ascii="Courier New" w:cs="Courier New" w:eastAsia="Courier New" w:hAnsi="Courier New"/>
          <w:sz w:val="18"/>
          <w:szCs w:val="18"/>
        </w:rPr>
        <w:t xml:space="preserve"># equals the count of non-missing WTDR2D</w:t>
      </w:r>
    </w:p>
    <w:p>
      <w:pPr>
        <w:spacing w:after="120"/>
      </w:pPr>
      <w:r>
        <w:t xml:space="preserve">Every person with a positive day-1 weight has a non-missing day-2 weight, and no one has a day-2 weight without a day-1 weight. The two sets are the same people. This confirms that the 1,002 zeros are attrition within an identified cohort rather than a structurally messier pattern of partial coverage.</w:t>
      </w:r>
    </w:p>
    <w:p>
      <w:pPr>
        <w:spacing w:after="120"/>
      </w:pPr>
      <w:r>
        <w:t xml:space="preserve">For the manuscript: the panel is unbalanced by design, and — importantly — the unbalancedness is encoded in the weight variable rather than in the outcome. Software that ignores the weight therefore also ignores the attrition mechanism.</w:t>
      </w:r>
    </w:p>
    <w:p>
      <w:pPr>
        <w:pStyle w:val="Heading2"/>
        <w:spacing w:after="80" w:before="360"/>
      </w:pPr>
      <w:r>
        <w:t xml:space="preserve">4. Design degrees of freedom are invariant to the weight variable</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#survey-inference #degrees-of-freedom #core-result</w:t>
      </w:r>
      <w:r>
        <w:rPr>
          <w:i/>
          <w:iCs/>
          <w:color w:val="666666"/>
          <w:sz w:val="18"/>
          <w:szCs w:val="18"/>
        </w:rPr>
        <w:t xml:space="preserve">   |   links: </w:t>
      </w:r>
      <w:r>
        <w:rPr>
          <w:i/>
          <w:iCs/>
          <w:color w:val="666666"/>
          <w:sz w:val="18"/>
          <w:szCs w:val="18"/>
        </w:rPr>
        <w:t xml:space="preserve">[[Design df invariance under domain subsetting]]</w:t>
      </w:r>
    </w:p>
    <w:p>
      <w:pPr>
        <w:shd w:fill="F4F4F2" w:val="clear"/>
        <w:spacing w:after="140" w:before="60"/>
        <w:ind w:left="240"/>
      </w:pPr>
      <w:r>
        <w:rPr>
          <w:rFonts w:ascii="Courier New" w:cs="Courier New" w:eastAsia="Courier New" w:hAnsi="Courier New"/>
          <w:sz w:val="18"/>
          <w:szCs w:val="18"/>
        </w:rPr>
        <w:t xml:space="preserve">degf(diet_design_2d)   # 15</w:t>
      </w:r>
    </w:p>
    <w:p>
      <w:pPr>
        <w:spacing w:after="120"/>
      </w:pPr>
      <w:r>
        <w:t xml:space="preserve">df = 15 arises from the stratum-and-PSU structure alone — 15 strata each contributing one PSU contrast. Attaching a different weight variable does not change it.</w:t>
      </w:r>
    </w:p>
    <w:p>
      <w:pPr>
        <w:spacing w:after="120"/>
      </w:pPr>
      <w:r>
        <w:t xml:space="preserve">Combined with the earlier result that df = 15 survives domain subsetting, this is now two independent perturbations of the design yielding the same answer. The claim is therefore stronger than either result alone: the correction factor qt(0.975, 15) / qnorm(0.975) = 1.087494 applies to every estimate from this cycle, whichever weight and whichever domain.</w:t>
      </w:r>
    </w:p>
    <w:p>
      <w:pPr>
        <w:spacing w:after="120"/>
      </w:pPr>
      <w:r>
        <w:t xml:space="preserve">Consequence for the simulation study: because the correction factor is a fixed constant across all four estimators, any difference in interval coverage between plain lmer, weighted lmer, WeMix and svylme is attributable to the estimator itself and not to shifting degrees of freedom. It holds the comparison still.</w:t>
      </w:r>
    </w:p>
    <w:p>
      <w:pPr>
        <w:pStyle w:val="Heading2"/>
        <w:spacing w:after="80" w:before="360"/>
      </w:pPr>
      <w:r>
        <w:t xml:space="preserve">5. SEQN 93792 — a reliable, positively-weighted, zero-kcal record</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#nhanes #edge-case #zero-intake</w:t>
      </w:r>
    </w:p>
    <w:p>
      <w:pPr>
        <w:shd w:fill="F4F4F2" w:val="clear"/>
        <w:spacing w:after="0" w:before="60"/>
        <w:ind w:left="240"/>
      </w:pPr>
      <w:r>
        <w:rPr>
          <w:rFonts w:ascii="Courier New" w:cs="Courier New" w:eastAsia="Courier New" w:hAnsi="Courier New"/>
          <w:sz w:val="18"/>
          <w:szCs w:val="18"/>
        </w:rPr>
        <w:t xml:space="preserve">merged_all[which(merged_all$DR1TKCAL == 0),</w:t>
      </w:r>
    </w:p>
    <w:p>
      <w:pPr>
        <w:shd w:fill="F4F4F2" w:val="clear"/>
        <w:spacing w:after="0" w:before="0"/>
        <w:ind w:left="240"/>
      </w:pPr>
      <w:r>
        <w:rPr>
          <w:rFonts w:ascii="Courier New" w:cs="Courier New" w:eastAsia="Courier New" w:hAnsi="Courier New"/>
          <w:sz w:val="18"/>
          <w:szCs w:val="18"/>
        </w:rPr>
        <w:t xml:space="preserve">           c("SEQN", "RIDAGEYR", "DR1DRSTZ", "WTDRD1", "WTDR2D")]</w:t>
      </w:r>
    </w:p>
    <w:p>
      <w:pPr>
        <w:shd w:fill="F4F4F2" w:val="clear"/>
        <w:spacing w:after="0" w:before="0"/>
        <w:ind w:left="240"/>
      </w:pPr>
      <w:r>
        <w:rPr>
          <w:rFonts w:ascii="Courier New" w:cs="Courier New" w:eastAsia="Courier New" w:hAnsi="Courier New"/>
          <w:sz w:val="18"/>
          <w:szCs w:val="18"/>
        </w:rPr>
        <w:t xml:space="preserve"># 93792, age 31, "Reliable and met the minimum criteria",</w:t>
      </w:r>
    </w:p>
    <w:p>
      <w:pPr>
        <w:shd w:fill="F4F4F2" w:val="clear"/>
        <w:spacing w:after="140" w:before="0"/>
        <w:ind w:left="240"/>
      </w:pPr>
      <w:r>
        <w:rPr>
          <w:rFonts w:ascii="Courier New" w:cs="Courier New" w:eastAsia="Courier New" w:hAnsi="Courier New"/>
          <w:sz w:val="18"/>
          <w:szCs w:val="18"/>
        </w:rPr>
        <w:t xml:space="preserve"># WTDRD1 = 69264.49, WTDR2D = 73081.04</w:t>
      </w:r>
    </w:p>
    <w:p>
      <w:pPr>
        <w:spacing w:after="120"/>
      </w:pPr>
      <w:r>
        <w:t xml:space="preserve">Exactly one record in the file reports zero total energy. It is not missingness: the interview took place, it met the minimum criteria, and the recorded value is a genuine zero. Both weights are positive, so the record enters every weighted estimate and cannot be dropped without changing the estimand.</w:t>
      </w:r>
    </w:p>
    <w:p>
      <w:pPr>
        <w:spacing w:after="120"/>
      </w:pPr>
      <w:r>
        <w:t xml:space="preserve">Structurally distinct from the 157 breast-milk cases: those have no valid value, whereas this one has a valid value that happens to be zero. The underlying reason — fasting, observance, or a recall that passed the reliability flag regardless — is not recoverable from the data and is not needed for the argument.</w:t>
      </w:r>
    </w:p>
    <w:p>
      <w:pPr>
        <w:spacing w:after="120"/>
      </w:pPr>
      <w:r>
        <w:t xml:space="preserve">Practical consequence: log(0) = -Inf. Any log transform of intake, which is standard in this literature, breaks on this record. Flag it before Lesson 6.</w:t>
      </w:r>
    </w:p>
    <w:p>
      <w:pPr>
        <w:pStyle w:val="Heading2"/>
        <w:spacing w:after="80" w:before="360"/>
      </w:pPr>
      <w:r>
        <w:t xml:space="preserve">6. A zero-kcal day is plausible; a zero-kcal habitual intake is not</w:t>
      </w:r>
    </w:p>
    <w:p>
      <w:pPr>
        <w:pBdr>
          <w:bottom w:val="single" w:color="DDDDDD" w:sz="4" w:space="6"/>
        </w:pBdr>
        <w:spacing w:after="140"/>
      </w:pPr>
      <w:r>
        <w:rPr>
          <w:i/>
          <w:iCs/>
          <w:color w:val="666666"/>
          <w:sz w:val="18"/>
          <w:szCs w:val="18"/>
        </w:rPr>
        <w:t xml:space="preserve">status: </w:t>
      </w:r>
      <w:r>
        <w:rPr>
          <w:i/>
          <w:iCs/>
          <w:color w:val="666666"/>
          <w:sz w:val="18"/>
          <w:szCs w:val="18"/>
        </w:rPr>
        <w:t xml:space="preserve">Conceptual</w:t>
      </w:r>
      <w:r>
        <w:rPr>
          <w:i/>
          <w:iCs/>
          <w:color w:val="666666"/>
          <w:sz w:val="18"/>
          <w:szCs w:val="18"/>
        </w:rPr>
        <w:t xml:space="preserve">   |   tags: </w:t>
      </w:r>
      <w:r>
        <w:rPr>
          <w:i/>
          <w:iCs/>
          <w:color w:val="666666"/>
          <w:sz w:val="18"/>
          <w:szCs w:val="18"/>
        </w:rPr>
        <w:t xml:space="preserve">#within-person-variance #usual-intake #manuscript-argument</w:t>
      </w:r>
      <w:r>
        <w:rPr>
          <w:i/>
          <w:iCs/>
          <w:color w:val="666666"/>
          <w:sz w:val="18"/>
          <w:szCs w:val="18"/>
        </w:rPr>
        <w:t xml:space="preserve">   |   links: </w:t>
      </w:r>
      <w:r>
        <w:rPr>
          <w:i/>
          <w:iCs/>
          <w:color w:val="666666"/>
          <w:sz w:val="18"/>
          <w:szCs w:val="18"/>
        </w:rPr>
        <w:t xml:space="preserve">[[SEQN 93792]] · [[NCI method]]</w:t>
      </w:r>
    </w:p>
    <w:p>
      <w:pPr>
        <w:spacing w:after="120"/>
      </w:pPr>
      <w:r>
        <w:t xml:space="preserve">The gap between those two statements is precisely the within-person variance problem. A single 24-hour recall estimates a person's intake on one day, not their usual intake; the day-to-day variation is large enough that a single observation is a poor estimate of the individual mean even when it is perfectly measured.</w:t>
      </w:r>
    </w:p>
    <w:p>
      <w:pPr>
        <w:spacing w:after="120"/>
      </w:pPr>
      <w:r>
        <w:t xml:space="preserve">SEQN 93792 is a clean, minimal illustration of the point and is worth using in the manuscript for that reason — a single row that makes the distinction concrete without requiring any modelling to see it. It also motivates why the two-day structure exists in NHANES at all, and therefore why this dataset sits at the intersection of repeated measures and complex survey design.</w:t>
      </w:r>
    </w:p>
    <w:p>
      <w:pPr>
        <w:pStyle w:val="Heading2"/>
        <w:spacing w:after="80" w:before="360"/>
      </w:pPr>
      <w:r>
        <w:t xml:space="preserve">7. The DR1TKCAL missingness decomposition closes arithmetically</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#nhanes #missingness #verification</w:t>
      </w:r>
    </w:p>
    <w:p>
      <w:pPr>
        <w:shd w:fill="F4F4F2" w:val="clear"/>
        <w:spacing w:after="0" w:before="60"/>
        <w:ind w:left="240"/>
      </w:pPr>
      <w:r>
        <w:rPr>
          <w:rFonts w:ascii="Courier New" w:cs="Courier New" w:eastAsia="Courier New" w:hAnsi="Courier New"/>
          <w:sz w:val="18"/>
          <w:szCs w:val="18"/>
        </w:rPr>
        <w:t xml:space="preserve">table(merged_all$DR1TKCAL == 0, useNA = "ifany")</w:t>
      </w:r>
    </w:p>
    <w:p>
      <w:pPr>
        <w:shd w:fill="F4F4F2" w:val="clear"/>
        <w:spacing w:after="0" w:before="0"/>
        <w:ind w:left="240"/>
      </w:pPr>
      <w:r>
        <w:rPr>
          <w:rFonts w:ascii="Courier New" w:cs="Courier New" w:eastAsia="Courier New" w:hAnsi="Courier New"/>
          <w:sz w:val="18"/>
          <w:szCs w:val="18"/>
        </w:rPr>
        <w:t xml:space="preserve"># FALSE 7,483 | TRUE 1 | NA 1,770</w:t>
      </w:r>
    </w:p>
    <w:p>
      <w:pPr>
        <w:shd w:fill="F4F4F2" w:val="clear"/>
        <w:spacing w:after="140" w:before="0"/>
        <w:ind w:left="240"/>
      </w:pPr>
      <w:r>
        <w:rPr>
          <w:rFonts w:ascii="Courier New" w:cs="Courier New" w:eastAsia="Courier New" w:hAnsi="Courier New"/>
          <w:sz w:val="18"/>
          <w:szCs w:val="18"/>
        </w:rPr>
        <w:t xml:space="preserve"># 550 + 976 + 87 + 157 = 1,770</w:t>
      </w:r>
    </w:p>
    <w:p>
      <w:pPr>
        <w:spacing w:after="120"/>
      </w:pPr>
      <w:r>
        <w:t xml:space="preserve">The four previously identified components of DR1TKCAL missingness sum exactly to the observed NA count, and the three cells sum to the full 9,254 rows. Nothing unexplained remains in the missingness. This is worth stating explicitly in the paper: the missingness in this variable is fully characterised, so any subsequent inferential problem cannot be attributed to an unexamined missing-data mechanism.</w:t>
      </w:r>
    </w:p>
    <w:p>
      <w:pPr>
        <w:pStyle w:val="Heading2"/>
        <w:spacing w:after="80" w:before="360"/>
      </w:pPr>
      <w:r>
        <w:t xml:space="preserve">8. Survey weights are strongly right-skewed</w:t>
      </w:r>
    </w:p>
    <w:p>
      <w:pPr>
        <w:pBdr>
          <w:bottom w:val="single" w:color="DDDDDD" w:sz="4" w:space="6"/>
        </w:pBdr>
        <w:spacing w:after="140"/>
      </w:pPr>
      <w:r>
        <w:rPr>
          <w:i/>
          <w:iCs/>
          <w:color w:val="666666"/>
          <w:sz w:val="18"/>
          <w:szCs w:val="18"/>
        </w:rPr>
        <w:t xml:space="preserve">status: </w:t>
      </w:r>
      <w:r>
        <w:rPr>
          <w:i/>
          <w:iCs/>
          <w:color w:val="666666"/>
          <w:sz w:val="18"/>
          <w:szCs w:val="18"/>
        </w:rPr>
        <w:t xml:space="preserve">Confirmed against data output</w:t>
      </w:r>
      <w:r>
        <w:rPr>
          <w:i/>
          <w:iCs/>
          <w:color w:val="666666"/>
          <w:sz w:val="18"/>
          <w:szCs w:val="18"/>
        </w:rPr>
        <w:t xml:space="preserve">   |   tags: </w:t>
      </w:r>
      <w:r>
        <w:rPr>
          <w:i/>
          <w:iCs/>
          <w:color w:val="666666"/>
          <w:sz w:val="18"/>
          <w:szCs w:val="18"/>
        </w:rPr>
        <w:t xml:space="preserve">#weights #distribution</w:t>
      </w:r>
    </w:p>
    <w:p>
      <w:pPr>
        <w:shd w:fill="F4F4F2" w:val="clear"/>
        <w:spacing w:after="0" w:before="60"/>
        <w:ind w:left="240"/>
      </w:pPr>
      <w:r>
        <w:rPr>
          <w:rFonts w:ascii="Courier New" w:cs="Courier New" w:eastAsia="Courier New" w:hAnsi="Courier New"/>
          <w:sz w:val="18"/>
          <w:szCs w:val="18"/>
        </w:rPr>
        <w:t xml:space="preserve">summary(merged_all$WTDR2D)</w:t>
      </w:r>
    </w:p>
    <w:p>
      <w:pPr>
        <w:shd w:fill="F4F4F2" w:val="clear"/>
        <w:spacing w:after="140" w:before="0"/>
        <w:ind w:left="240"/>
      </w:pPr>
      <w:r>
        <w:rPr>
          <w:rFonts w:ascii="Courier New" w:cs="Courier New" w:eastAsia="Courier New" w:hAnsi="Courier New"/>
          <w:sz w:val="18"/>
          <w:szCs w:val="18"/>
        </w:rPr>
        <w:t xml:space="preserve"># Median 21,766 | Mean 41,990 | Max 901,995</w:t>
      </w:r>
    </w:p>
    <w:p>
      <w:pPr>
        <w:spacing w:after="120"/>
      </w:pPr>
      <w:r>
        <w:t xml:space="preserve">The mean sits at roughly twice the median. This skew is the ordinary signature of survey weights under oversampling, and it is the mechanism behind the divergence between weighted and unweighted estimates — for example the 4.1-year gap between weighted (38.4) and unweighted (34.3) mean age. A small number of heavily weighted observations exert leverage that an i.i.d. analysis has no way to represent.</w:t>
      </w:r>
    </w:p>
    <w:p>
      <w:pPr>
        <w:pStyle w:val="Heading2"/>
        <w:spacing w:after="80" w:before="360"/>
      </w:pPr>
      <w:r>
        <w:t xml:space="preserve">9. Quiet behaviour is not the same as silent failure</w:t>
      </w:r>
    </w:p>
    <w:p>
      <w:pPr>
        <w:pBdr>
          <w:bottom w:val="single" w:color="DDDDDD" w:sz="4" w:space="6"/>
        </w:pBdr>
        <w:spacing w:after="140"/>
      </w:pPr>
      <w:r>
        <w:rPr>
          <w:i/>
          <w:iCs/>
          <w:color w:val="666666"/>
          <w:sz w:val="18"/>
          <w:szCs w:val="18"/>
        </w:rPr>
        <w:t xml:space="preserve">status: </w:t>
      </w:r>
      <w:r>
        <w:rPr>
          <w:i/>
          <w:iCs/>
          <w:color w:val="666666"/>
          <w:sz w:val="18"/>
          <w:szCs w:val="18"/>
        </w:rPr>
        <w:t xml:space="preserve">Conceptual</w:t>
      </w:r>
      <w:r>
        <w:rPr>
          <w:i/>
          <w:iCs/>
          <w:color w:val="666666"/>
          <w:sz w:val="18"/>
          <w:szCs w:val="18"/>
        </w:rPr>
        <w:t xml:space="preserve">   |   tags: </w:t>
      </w:r>
      <w:r>
        <w:rPr>
          <w:i/>
          <w:iCs/>
          <w:color w:val="666666"/>
          <w:sz w:val="18"/>
          <w:szCs w:val="18"/>
        </w:rPr>
        <w:t xml:space="preserve">#reproducibility #failure-modes #r-idiom</w:t>
      </w:r>
      <w:r>
        <w:rPr>
          <w:i/>
          <w:iCs/>
          <w:color w:val="666666"/>
          <w:sz w:val="18"/>
          <w:szCs w:val="18"/>
        </w:rPr>
        <w:t xml:space="preserve">   |   links: </w:t>
      </w:r>
      <w:r>
        <w:rPr>
          <w:i/>
          <w:iCs/>
          <w:color w:val="666666"/>
          <w:sz w:val="18"/>
          <w:szCs w:val="18"/>
        </w:rPr>
        <w:t xml:space="preserve">[[Three silent failure modes]] · [[svydesign fails loudly]]</w:t>
      </w:r>
    </w:p>
    <w:p>
      <w:pPr>
        <w:spacing w:after="120"/>
      </w:pPr>
      <w:r>
        <w:t xml:space="preserve">Two things happened this session that both produced “nothing appeared to work,” but they belong to different categories and the distinction is worth keeping clean.</w:t>
      </w:r>
    </w:p>
    <w:p>
      <w:pPr>
        <w:spacing w:after="120"/>
      </w:pPr>
      <w:r>
        <w:t xml:space="preserve">source() returning no output is documented, intended behaviour: it suppresses auto-printing, so degf() ran and its result was discarded. Nothing failed. Passing echo = TRUE makes each statement and its result visible. This is quietness, not failure.</w:t>
      </w:r>
    </w:p>
    <w:p>
      <w:pPr>
        <w:spacing w:after="120"/>
      </w:pPr>
      <w:r>
        <w:t xml:space="preserve">Two statements pasted onto one console line produced “unexpected symbol” — an immediate, located, unambiguous parse error. This is a loud failure, and belongs alongside svydesign() as a counterexample to the three silent failure modes already documented.</w:t>
      </w:r>
    </w:p>
    <w:p>
      <w:pPr>
        <w:spacing w:after="120"/>
      </w:pPr>
      <w:r>
        <w:t xml:space="preserve">The taxonomy for the discussion section is therefore three-way rather than two-way: silent failures that corrupt results without signal, loud failures that stop execution, and quiet successes that merely look like failures. Only the first is dangerous; the third mainly costs time, but it costs time in a way that tempts re-running code until the environment is stale — which is how silent failures get created.</w:t>
      </w:r>
    </w:p>
    <w:p>
      <w:pPr>
        <w:pStyle w:val="Heading1"/>
        <w:spacing w:after="120" w:before="480"/>
      </w:pPr>
      <w:r>
        <w:t xml:space="preserve">Carry-forward</w:t>
      </w:r>
    </w:p>
    <w:p>
      <w:pPr>
        <w:spacing w:after="100"/>
        <w:ind w:left="240" w:hanging="240"/>
      </w:pPr>
      <w:r>
        <w:t xml:space="preserve">—  Flag SEQN 93792 before any log transform in Lesson 6.</w:t>
      </w:r>
    </w:p>
    <w:p>
      <w:pPr>
        <w:spacing w:after="100"/>
        <w:ind w:left="240" w:hanging="240"/>
      </w:pPr>
      <w:r>
        <w:t xml:space="preserve">—  Open threads unchanged: note on design variables carrying missingness information; verify column classes from nhanesA; delete the stray NHANES-B branch; decide whether data/processed/*.rds is committed or gitignored.</w:t>
      </w:r>
    </w:p>
    <w:p>
      <w:pPr>
        <w:spacing w:after="100"/>
        <w:ind w:left="240" w:hanging="240"/>
      </w:pPr>
      <w:r>
        <w:t xml:space="preserve">—  Lesson 6 opens the simulation study: plain lmer, lmer with weights misapplied, WeMix, svylme.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Atomic notes — 2 September 2026</dc:title>
  <dc:creator>Mahsa Jalili</dc:creator>
  <cp:lastModifiedBy>Un-named</cp:lastModifiedBy>
  <cp:revision>1</cp:revision>
  <dcterms:created xsi:type="dcterms:W3CDTF">2026-09-02T13:37:09.685Z</dcterms:created>
  <dcterms:modified xsi:type="dcterms:W3CDTF">2026-09-02T13:37:09.685Z</dcterms:modified>
</cp:coreProperties>
</file>

<file path=docProps/custom.xml><?xml version="1.0" encoding="utf-8"?>
<Properties xmlns="http://schemas.openxmlformats.org/officeDocument/2006/custom-properties" xmlns:vt="http://schemas.openxmlformats.org/officeDocument/2006/docPropsVTypes"/>
</file>