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Session material — 7 September 2026</w:t>
      </w:r>
    </w:p>
    <w:p>
      <w:pPr>
        <w:pBdr>
          <w:bottom w:val="single" w:color="BFBFBF" w:sz="6" w:space="8"/>
        </w:pBdr>
        <w:spacing w:after="200"/>
      </w:pPr>
      <w:r>
        <w:rPr>
          <w:i/>
          <w:iCs/>
          <w:color w:val="595959"/>
          <w:sz w:val="19"/>
          <w:szCs w:val="19"/>
        </w:rPr>
        <w:t xml:space="preserve">NHANES 2017–2018 · two atomic notes · both verified this session</w:t>
      </w:r>
    </w:p>
    <w:p>
      <w:pPr>
        <w:pStyle w:val="Heading1"/>
      </w:pPr>
      <w:r>
        <w:t xml:space="preserve">Note 1 — NA vs exact zero in two-day dietary weights</w:t>
      </w:r>
    </w:p>
    <w:p>
      <w:pPr>
        <w:spacing w:after="180"/>
      </w:pPr>
      <w:r>
        <w:rPr>
          <w:i/>
          <w:iCs/>
          <w:color w:val="3C7D3C"/>
          <w:sz w:val="19"/>
          <w:szCs w:val="19"/>
        </w:rPr>
        <w:t xml:space="preserve">status: confirmed</w:t>
      </w:r>
    </w:p>
    <w:p>
      <w:pPr>
        <w:pStyle w:val="Heading2"/>
        <w:spacing w:after="140" w:before="300"/>
      </w:pPr>
      <w:r>
        <w:t xml:space="preserve">Claim</w:t>
      </w:r>
    </w:p>
    <w:p>
      <w:pPr>
        <w:spacing w:after="160" w:line="276"/>
      </w:pPr>
      <w:r>
        <w:t xml:space="preserve">In NHANES 2017–2018, WTDR2D carries two distinct kinds of non-positive value that encode two different non-response mechanisms. Recoding both to zero is defensible for variance estimation but erases the distinction, and no software warns that it happened.</w:t>
      </w:r>
    </w:p>
    <w:p>
      <w:pPr>
        <w:pStyle w:val="Heading2"/>
        <w:spacing w:after="140" w:before="300"/>
      </w:pPr>
      <w:r>
        <w:t xml:space="preserve">The partition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200"/>
      </w:tblGrid>
      <w:tr>
        <w:trPr>
          <w:tblHeader/>
        </w:trPr>
        <w:tc>
          <w:tcPr>
            <w:tcW w:type="dxa" w:w="2600"/>
            <w:shd w:fill="E8E8E8" w:val="clear"/>
            <w:tcMar>
              <w:top w:type="dxa" w:w="80"/>
              <w:left w:type="dxa" w:w="120"/>
              <w:bottom w:type="dxa" w:w="80"/>
              <w:right w:type="dxa" w:w="120"/>
            </w:tcMar>
          </w:tcPr>
          <w:p>
            <w:pPr>
              <w:jc w:val="left"/>
            </w:pPr>
            <w:r>
              <w:rPr>
                <w:b/>
                <w:bCs/>
              </w:rPr>
              <w:t xml:space="preserve">Value of WTDR2D</w:t>
            </w:r>
          </w:p>
        </w:tc>
        <w:tc>
          <w:tcPr>
            <w:tcW w:type="dxa" w:w="1200"/>
            <w:shd w:fill="E8E8E8" w:val="clear"/>
            <w:tcMar>
              <w:top w:type="dxa" w:w="80"/>
              <w:left w:type="dxa" w:w="120"/>
              <w:bottom w:type="dxa" w:w="80"/>
              <w:right w:type="dxa" w:w="120"/>
            </w:tcMar>
          </w:tcPr>
          <w:p>
            <w:pPr>
              <w:jc w:val="right"/>
            </w:pPr>
            <w:r>
              <w:rPr>
                <w:b/>
                <w:bCs/>
              </w:rPr>
              <w:t xml:space="preserve">n</w:t>
            </w:r>
          </w:p>
        </w:tc>
        <w:tc>
          <w:tcPr>
            <w:tcW w:type="dxa" w:w="5200"/>
            <w:shd w:fill="E8E8E8" w:val="clear"/>
            <w:tcMar>
              <w:top w:type="dxa" w:w="80"/>
              <w:left w:type="dxa" w:w="120"/>
              <w:bottom w:type="dxa" w:w="80"/>
              <w:right w:type="dxa" w:w="120"/>
            </w:tcMar>
          </w:tcPr>
          <w:p>
            <w:pPr>
              <w:jc w:val="left"/>
            </w:pPr>
            <w:r>
              <w:rPr>
                <w:b/>
                <w:bCs/>
              </w:rPr>
              <w:t xml:space="preserve">Mechanism</w:t>
            </w:r>
          </w:p>
        </w:tc>
      </w:tr>
      <w:tr>
        <w:tc>
          <w:tcPr>
            <w:tcW w:type="dxa" w:w="2600"/>
            <w:tcMar>
              <w:top w:type="dxa" w:w="80"/>
              <w:left w:type="dxa" w:w="120"/>
              <w:bottom w:type="dxa" w:w="80"/>
              <w:right w:type="dxa" w:w="120"/>
            </w:tcMar>
          </w:tcPr>
          <w:p>
            <w:pPr>
              <w:jc w:val="left"/>
            </w:pPr>
            <w:r>
              <w:rPr>
                <w:rFonts w:ascii="Consolas" w:cs="Consolas" w:eastAsia="Consolas" w:hAnsi="Consolas"/>
                <w:sz w:val="19"/>
                <w:szCs w:val="19"/>
              </w:rPr>
              <w:t xml:space="preserve">NA</w:t>
            </w:r>
          </w:p>
        </w:tc>
        <w:tc>
          <w:tcPr>
            <w:tcW w:type="dxa" w:w="1200"/>
            <w:tcMar>
              <w:top w:type="dxa" w:w="80"/>
              <w:left w:type="dxa" w:w="120"/>
              <w:bottom w:type="dxa" w:w="80"/>
              <w:right w:type="dxa" w:w="120"/>
            </w:tcMar>
          </w:tcPr>
          <w:p>
            <w:pPr>
              <w:jc w:val="right"/>
            </w:pPr>
            <w:r>
              <w:t xml:space="preserve">1,613</w:t>
            </w:r>
          </w:p>
        </w:tc>
        <w:tc>
          <w:tcPr>
            <w:tcW w:type="dxa" w:w="5200"/>
            <w:tcMar>
              <w:top w:type="dxa" w:w="80"/>
              <w:left w:type="dxa" w:w="120"/>
              <w:bottom w:type="dxa" w:w="80"/>
              <w:right w:type="dxa" w:w="120"/>
            </w:tcMar>
          </w:tcPr>
          <w:p>
            <w:pPr>
              <w:jc w:val="left"/>
            </w:pPr>
            <w:r>
              <w:t xml:space="preserve">No valid day-1 recall; a two-day weight is undefined</w:t>
            </w:r>
          </w:p>
        </w:tc>
      </w:tr>
      <w:tr>
        <w:tc>
          <w:tcPr>
            <w:tcW w:type="dxa" w:w="2600"/>
            <w:tcMar>
              <w:top w:type="dxa" w:w="80"/>
              <w:left w:type="dxa" w:w="120"/>
              <w:bottom w:type="dxa" w:w="80"/>
              <w:right w:type="dxa" w:w="120"/>
            </w:tcMar>
          </w:tcPr>
          <w:p>
            <w:pPr>
              <w:jc w:val="left"/>
            </w:pPr>
            <w:r>
              <w:rPr>
                <w:rFonts w:ascii="Consolas" w:cs="Consolas" w:eastAsia="Consolas" w:hAnsi="Consolas"/>
                <w:sz w:val="19"/>
                <w:szCs w:val="19"/>
              </w:rPr>
              <w:t xml:space="preserve">exact 0</w:t>
            </w:r>
          </w:p>
        </w:tc>
        <w:tc>
          <w:tcPr>
            <w:tcW w:type="dxa" w:w="1200"/>
            <w:tcMar>
              <w:top w:type="dxa" w:w="80"/>
              <w:left w:type="dxa" w:w="120"/>
              <w:bottom w:type="dxa" w:w="80"/>
              <w:right w:type="dxa" w:w="120"/>
            </w:tcMar>
          </w:tcPr>
          <w:p>
            <w:pPr>
              <w:jc w:val="right"/>
            </w:pPr>
            <w:r>
              <w:t xml:space="preserve">1,002</w:t>
            </w:r>
          </w:p>
        </w:tc>
        <w:tc>
          <w:tcPr>
            <w:tcW w:type="dxa" w:w="5200"/>
            <w:tcMar>
              <w:top w:type="dxa" w:w="80"/>
              <w:left w:type="dxa" w:w="120"/>
              <w:bottom w:type="dxa" w:w="80"/>
              <w:right w:type="dxa" w:w="120"/>
            </w:tcMar>
          </w:tcPr>
          <w:p>
            <w:pPr>
              <w:jc w:val="left"/>
            </w:pPr>
            <w:r>
              <w:t xml:space="preserve">Valid day 1, failed day 2 — NCHS-coded attrition</w:t>
            </w:r>
          </w:p>
        </w:tc>
      </w:tr>
      <w:tr>
        <w:tc>
          <w:tcPr>
            <w:tcW w:type="dxa" w:w="2600"/>
            <w:tcMar>
              <w:top w:type="dxa" w:w="80"/>
              <w:left w:type="dxa" w:w="120"/>
              <w:bottom w:type="dxa" w:w="80"/>
              <w:right w:type="dxa" w:w="120"/>
            </w:tcMar>
          </w:tcPr>
          <w:p>
            <w:pPr>
              <w:jc w:val="left"/>
            </w:pPr>
            <w:r>
              <w:rPr>
                <w:rFonts w:ascii="Consolas" w:cs="Consolas" w:eastAsia="Consolas" w:hAnsi="Consolas"/>
                <w:sz w:val="19"/>
                <w:szCs w:val="19"/>
              </w:rPr>
              <w:t xml:space="preserve">positive</w:t>
            </w:r>
          </w:p>
        </w:tc>
        <w:tc>
          <w:tcPr>
            <w:tcW w:type="dxa" w:w="1200"/>
            <w:tcMar>
              <w:top w:type="dxa" w:w="80"/>
              <w:left w:type="dxa" w:w="120"/>
              <w:bottom w:type="dxa" w:w="80"/>
              <w:right w:type="dxa" w:w="120"/>
            </w:tcMar>
          </w:tcPr>
          <w:p>
            <w:pPr>
              <w:jc w:val="right"/>
            </w:pPr>
            <w:r>
              <w:t xml:space="preserve">6,639</w:t>
            </w:r>
          </w:p>
        </w:tc>
        <w:tc>
          <w:tcPr>
            <w:tcW w:type="dxa" w:w="5200"/>
            <w:tcMar>
              <w:top w:type="dxa" w:w="80"/>
              <w:left w:type="dxa" w:w="120"/>
              <w:bottom w:type="dxa" w:w="80"/>
              <w:right w:type="dxa" w:w="120"/>
            </w:tcMar>
          </w:tcPr>
          <w:p>
            <w:pPr>
              <w:jc w:val="left"/>
            </w:pPr>
            <w:r>
              <w:t xml:space="preserve">Completed both recalls</w:t>
            </w:r>
          </w:p>
        </w:tc>
      </w:tr>
      <w:tr>
        <w:tc>
          <w:tcPr>
            <w:tcW w:type="dxa" w:w="2600"/>
            <w:shd w:fill="F4F4F4" w:val="clear"/>
            <w:tcMar>
              <w:top w:type="dxa" w:w="80"/>
              <w:left w:type="dxa" w:w="120"/>
              <w:bottom w:type="dxa" w:w="80"/>
              <w:right w:type="dxa" w:w="120"/>
            </w:tcMar>
          </w:tcPr>
          <w:p>
            <w:pPr>
              <w:jc w:val="left"/>
            </w:pPr>
            <w:r>
              <w:rPr>
                <w:b/>
                <w:bCs/>
              </w:rPr>
              <w:t xml:space="preserve">Total</w:t>
            </w:r>
          </w:p>
        </w:tc>
        <w:tc>
          <w:tcPr>
            <w:tcW w:type="dxa" w:w="1200"/>
            <w:shd w:fill="F4F4F4" w:val="clear"/>
            <w:tcMar>
              <w:top w:type="dxa" w:w="80"/>
              <w:left w:type="dxa" w:w="120"/>
              <w:bottom w:type="dxa" w:w="80"/>
              <w:right w:type="dxa" w:w="120"/>
            </w:tcMar>
          </w:tcPr>
          <w:p>
            <w:pPr>
              <w:jc w:val="right"/>
            </w:pPr>
            <w:r>
              <w:rPr>
                <w:b/>
                <w:bCs/>
              </w:rPr>
              <w:t xml:space="preserve">9,254</w:t>
            </w:r>
          </w:p>
        </w:tc>
        <w:tc>
          <w:tcPr>
            <w:tcW w:type="dxa" w:w="5200"/>
            <w:shd w:fill="F4F4F4" w:val="clear"/>
            <w:tcMar>
              <w:top w:type="dxa" w:w="80"/>
              <w:left w:type="dxa" w:w="120"/>
              <w:bottom w:type="dxa" w:w="80"/>
              <w:right w:type="dxa" w:w="120"/>
            </w:tcMar>
          </w:tcPr>
          <w:p>
            <w:pPr>
              <w:jc w:val="left"/>
            </w:pPr>
            <w:r>
              <w:t xml:space="preserve">DEMO_J interviewed sample</w:t>
            </w:r>
          </w:p>
        </w:tc>
      </w:tr>
    </w:tbl>
    <w:p>
      <w:pPr>
        <w:spacing w:after="200"/>
      </w:pPr>
    </w:p>
    <w:p>
      <w:pPr>
        <w:pStyle w:val="Heading2"/>
        <w:spacing w:after="140" w:before="300"/>
      </w:pPr>
      <w:r>
        <w:t xml:space="preserve">The identity, verified</w:t>
      </w:r>
    </w:p>
    <w:p>
      <w:pPr>
        <w:spacing w:after="160" w:line="276"/>
      </w:pPr>
      <w:r>
        <w:t xml:space="preserve">The NA set coincides exactly with the complement of the day-1 analytic sample. Verified in one line against the pre-recode join:</w:t>
      </w:r>
    </w:p>
    <w:p>
      <w:pPr>
        <w:spacing w:after="0" w:before="40"/>
        <w:ind w:left="431"/>
      </w:pPr>
      <w:r>
        <w:rPr>
          <w:rFonts w:ascii="Consolas" w:cs="Consolas" w:eastAsia="Consolas" w:hAnsi="Consolas"/>
          <w:sz w:val="19"/>
          <w:szCs w:val="19"/>
        </w:rPr>
        <w:t xml:space="preserve">demo_j %&gt;%</w:t>
      </w:r>
    </w:p>
    <w:p>
      <w:pPr>
        <w:spacing w:after="0" w:before="0"/>
        <w:ind w:left="431"/>
      </w:pPr>
      <w:r>
        <w:rPr>
          <w:rFonts w:ascii="Consolas" w:cs="Consolas" w:eastAsia="Consolas" w:hAnsi="Consolas"/>
          <w:sz w:val="19"/>
          <w:szCs w:val="19"/>
        </w:rPr>
        <w:t xml:space="preserve">  left_join(diet1_j, by = "SEQN") %&gt;%</w:t>
      </w:r>
    </w:p>
    <w:p>
      <w:pPr>
        <w:spacing w:after="0" w:before="0"/>
        <w:ind w:left="431"/>
      </w:pPr>
      <w:r>
        <w:rPr>
          <w:rFonts w:ascii="Consolas" w:cs="Consolas" w:eastAsia="Consolas" w:hAnsi="Consolas"/>
          <w:sz w:val="19"/>
          <w:szCs w:val="19"/>
        </w:rPr>
        <w:t xml:space="preserve">  summarise(exact_match =</w:t>
      </w:r>
    </w:p>
    <w:p>
      <w:pPr>
        <w:spacing w:after="0" w:before="0"/>
        <w:ind w:left="431"/>
      </w:pPr>
      <w:r>
        <w:rPr>
          <w:rFonts w:ascii="Consolas" w:cs="Consolas" w:eastAsia="Consolas" w:hAnsi="Consolas"/>
          <w:sz w:val="19"/>
          <w:szCs w:val="19"/>
        </w:rPr>
        <w:t xml:space="preserve">    all(is.na(WTDR2D) == !(WTDRD1 &gt; 0 &amp; !is.na(WTDRD1))))</w:t>
      </w:r>
    </w:p>
    <w:p>
      <w:pPr>
        <w:spacing w:after="160" w:before="0"/>
        <w:ind w:left="431"/>
      </w:pPr>
      <w:r>
        <w:rPr>
          <w:rFonts w:ascii="Consolas" w:cs="Consolas" w:eastAsia="Consolas" w:hAnsi="Consolas"/>
          <w:sz w:val="19"/>
          <w:szCs w:val="19"/>
        </w:rPr>
        <w:t xml:space="preserve"># TRUE</w:t>
      </w:r>
    </w:p>
    <w:p>
      <w:pPr>
        <w:spacing w:after="160" w:line="276"/>
      </w:pPr>
      <w:r>
        <w:t xml:space="preserve">Because the sets coincide rather than merely overlap, this is a statement about how NCHS constructs the weight, not a pattern observed in this extract. NCHS does not compute a two-day weight for someone with no day-1 recall to weight: the estimand is undefined for them. The exact zeros sit inside the day-1 sample and record a genuine second-stage attrition decision.</w:t>
      </w:r>
    </w:p>
    <w:p>
      <w:pPr>
        <w:pStyle w:val="Heading2"/>
        <w:spacing w:after="140" w:before="300"/>
      </w:pPr>
      <w:r>
        <w:t xml:space="preserve">Why the recode is still correct</w:t>
      </w:r>
    </w:p>
    <w:p>
      <w:pPr>
        <w:spacing w:after="160" w:line="276"/>
      </w:pPr>
      <w:r>
        <w:t xml:space="preserve">Both groups contribute nothing to point estimates. Both must remain as rows in the design object so the PSU and stratum structure survives — dropping them would alter the variance estimator, not merely the sample size. Design df stays at 15 either way.</w:t>
      </w:r>
    </w:p>
    <w:p>
      <w:pPr>
        <w:pStyle w:val="Heading2"/>
        <w:spacing w:after="140" w:before="300"/>
      </w:pPr>
      <w:r>
        <w:t xml:space="preserve">What the recode destroys</w:t>
      </w:r>
    </w:p>
    <w:p>
      <w:pPr>
        <w:spacing w:after="160" w:line="276"/>
      </w:pPr>
      <w:r>
        <w:t xml:space="preserve">After the NA-to-zero recode the design object can no longer distinguish:</w:t>
      </w:r>
    </w:p>
    <w:p>
      <w:pPr>
        <w:pStyle w:val="ListParagraph"/>
        <w:numPr>
          <w:ilvl w:val="0"/>
          <w:numId w:val="2"/>
        </w:numPr>
        <w:spacing w:after="100"/>
      </w:pPr>
      <w:r>
        <w:t xml:space="preserve">undefined — never eligible for a two-day estimand</w:t>
      </w:r>
    </w:p>
    <w:p>
      <w:pPr>
        <w:pStyle w:val="ListParagraph"/>
        <w:numPr>
          <w:ilvl w:val="0"/>
          <w:numId w:val="2"/>
        </w:numPr>
        <w:spacing w:after="100"/>
      </w:pPr>
      <w:r>
        <w:t xml:space="preserve">non-response — eligible, did not complete</w:t>
      </w:r>
    </w:p>
    <w:p>
      <w:pPr>
        <w:spacing w:after="160" w:line="276"/>
      </w:pPr>
      <w:r>
        <w:t xml:space="preserve">For a two-day mean these coincide in the arithmetic. They diverge the moment anyone asks about non-response bias, models the attrition, or reports a response rate: the denominator for day-2 non-response is 7,641, not 9,254. A collapsed weight vector silently offers the wrong denominator.</w:t>
      </w:r>
    </w:p>
    <w:p>
      <w:pPr>
        <w:pStyle w:val="Heading2"/>
        <w:spacing w:after="140" w:before="300"/>
      </w:pPr>
      <w:r>
        <w:t xml:space="preserve">Open question</w:t>
      </w:r>
    </w:p>
    <w:p>
      <w:pPr>
        <w:spacing w:after="160" w:line="276"/>
      </w:pPr>
      <w:r>
        <w:t xml:space="preserve">Whether to preserve the distinction with an explicit eligibility indicator rather than relying on the weight vector alone:</w:t>
      </w:r>
    </w:p>
    <w:p>
      <w:pPr>
        <w:spacing w:after="160" w:before="40"/>
        <w:ind w:left="431"/>
      </w:pPr>
      <w:r>
        <w:rPr>
          <w:rFonts w:ascii="Consolas" w:cs="Consolas" w:eastAsia="Consolas" w:hAnsi="Consolas"/>
          <w:sz w:val="19"/>
          <w:szCs w:val="19"/>
        </w:rPr>
        <w:t xml:space="preserve">merged_all$day2_eligible &lt;- merged_all$WTDRD1 &gt; 0</w:t>
      </w:r>
    </w:p>
    <w:p>
      <w:pPr>
        <w:spacing w:after="160" w:line="276"/>
      </w:pPr>
      <w:r>
        <w:t xml:space="preserve">Costs one column, keeps the two mechanisms separable for later attrition analysis, and makes the day-2 denominator explicit rather than reconstructible only by someone who knows the NCHS convention. Decide before Lesson 7.</w:t>
      </w:r>
    </w:p>
    <w:p>
      <w:pPr>
        <w:pBdr>
          <w:bottom w:val="single" w:color="BFBFBF" w:sz="6" w:space="8"/>
        </w:pBdr>
        <w:spacing w:after="240" w:before="400"/>
      </w:pPr>
    </w:p>
    <w:p>
      <w:pPr>
        <w:pStyle w:val="Heading1"/>
      </w:pPr>
      <w:r>
        <w:t xml:space="preserve">Note 2 — Breast-milk exclusion is a status code, not an age threshold</w:t>
      </w:r>
    </w:p>
    <w:p>
      <w:pPr>
        <w:spacing w:after="180"/>
      </w:pPr>
      <w:r>
        <w:rPr>
          <w:i/>
          <w:iCs/>
          <w:color w:val="3C7D3C"/>
          <w:sz w:val="19"/>
          <w:szCs w:val="19"/>
        </w:rPr>
        <w:t xml:space="preserve">status: confirmed · supersedes the age-based framing in the earlier note</w:t>
      </w:r>
    </w:p>
    <w:p>
      <w:pPr>
        <w:pStyle w:val="Heading2"/>
        <w:spacing w:after="140" w:before="300"/>
      </w:pPr>
      <w:r>
        <w:t xml:space="preserve">Claim</w:t>
      </w:r>
    </w:p>
    <w:p>
      <w:pPr>
        <w:spacing w:after="160" w:line="276"/>
      </w:pPr>
      <w:r>
        <w:t xml:space="preserve">Both dietary files assign positive weight to respondents whose intake the instrument cannot quantify. The affected cases are identified exactly by DR1DRSTZ / DR2DRSTZ, not by age — and an age cutoff would miss some of them.</w:t>
      </w:r>
    </w:p>
    <w:p>
      <w:pPr>
        <w:pStyle w:val="Heading2"/>
        <w:spacing w:after="140" w:before="300"/>
      </w:pPr>
      <w:r>
        <w:t xml:space="preserve">Both occasions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400"/>
        <w:gridCol w:w="2300"/>
        <w:gridCol w:w="2300"/>
      </w:tblGrid>
      <w:tr>
        <w:trPr>
          <w:tblHeader/>
        </w:trPr>
        <w:tc>
          <w:tcPr>
            <w:tcW w:type="dxa" w:w="4400"/>
            <w:shd w:fill="E8E8E8" w:val="clear"/>
            <w:tcMar>
              <w:top w:type="dxa" w:w="80"/>
              <w:left w:type="dxa" w:w="120"/>
              <w:bottom w:type="dxa" w:w="80"/>
              <w:right w:type="dxa" w:w="120"/>
            </w:tcMar>
          </w:tcPr>
          <w:p>
            <w:pPr>
              <w:jc w:val="left"/>
            </w:pPr>
            <w:r>
              <w:t xml:space="preserve"/>
            </w:r>
          </w:p>
        </w:tc>
        <w:tc>
          <w:tcPr>
            <w:tcW w:type="dxa" w:w="2300"/>
            <w:shd w:fill="E8E8E8" w:val="clear"/>
            <w:tcMar>
              <w:top w:type="dxa" w:w="80"/>
              <w:left w:type="dxa" w:w="120"/>
              <w:bottom w:type="dxa" w:w="80"/>
              <w:right w:type="dxa" w:w="120"/>
            </w:tcMar>
          </w:tcPr>
          <w:p>
            <w:pPr>
              <w:jc w:val="right"/>
            </w:pPr>
            <w:r>
              <w:rPr>
                <w:b/>
                <w:bCs/>
              </w:rPr>
              <w:t xml:space="preserve">Day 1</w:t>
            </w:r>
          </w:p>
        </w:tc>
        <w:tc>
          <w:tcPr>
            <w:tcW w:type="dxa" w:w="2300"/>
            <w:shd w:fill="E8E8E8" w:val="clear"/>
            <w:tcMar>
              <w:top w:type="dxa" w:w="80"/>
              <w:left w:type="dxa" w:w="120"/>
              <w:bottom w:type="dxa" w:w="80"/>
              <w:right w:type="dxa" w:w="120"/>
            </w:tcMar>
          </w:tcPr>
          <w:p>
            <w:pPr>
              <w:jc w:val="right"/>
            </w:pPr>
            <w:r>
              <w:rPr>
                <w:b/>
                <w:bCs/>
              </w:rPr>
              <w:t xml:space="preserve">Day 2</w:t>
            </w:r>
          </w:p>
        </w:tc>
      </w:tr>
      <w:tr>
        <w:tc>
          <w:tcPr>
            <w:tcW w:type="dxa" w:w="4400"/>
            <w:tcMar>
              <w:top w:type="dxa" w:w="80"/>
              <w:left w:type="dxa" w:w="120"/>
              <w:bottom w:type="dxa" w:w="80"/>
              <w:right w:type="dxa" w:w="120"/>
            </w:tcMar>
          </w:tcPr>
          <w:p>
            <w:pPr>
              <w:jc w:val="left"/>
            </w:pPr>
            <w:r>
              <w:t xml:space="preserve">Positive dietary weight</w:t>
            </w:r>
          </w:p>
        </w:tc>
        <w:tc>
          <w:tcPr>
            <w:tcW w:type="dxa" w:w="2300"/>
            <w:tcMar>
              <w:top w:type="dxa" w:w="80"/>
              <w:left w:type="dxa" w:w="120"/>
              <w:bottom w:type="dxa" w:w="80"/>
              <w:right w:type="dxa" w:w="120"/>
            </w:tcMar>
          </w:tcPr>
          <w:p>
            <w:pPr>
              <w:jc w:val="right"/>
            </w:pPr>
            <w:r>
              <w:t xml:space="preserve">7,641</w:t>
            </w:r>
          </w:p>
        </w:tc>
        <w:tc>
          <w:tcPr>
            <w:tcW w:type="dxa" w:w="2300"/>
            <w:tcMar>
              <w:top w:type="dxa" w:w="80"/>
              <w:left w:type="dxa" w:w="120"/>
              <w:bottom w:type="dxa" w:w="80"/>
              <w:right w:type="dxa" w:w="120"/>
            </w:tcMar>
          </w:tcPr>
          <w:p>
            <w:pPr>
              <w:jc w:val="right"/>
            </w:pPr>
            <w:r>
              <w:t xml:space="preserve">6,639</w:t>
            </w:r>
          </w:p>
        </w:tc>
      </w:tr>
      <w:tr>
        <w:tc>
          <w:tcPr>
            <w:tcW w:type="dxa" w:w="4400"/>
            <w:tcMar>
              <w:top w:type="dxa" w:w="80"/>
              <w:left w:type="dxa" w:w="120"/>
              <w:bottom w:type="dxa" w:w="80"/>
              <w:right w:type="dxa" w:w="120"/>
            </w:tcMar>
          </w:tcPr>
          <w:p>
            <w:pPr>
              <w:jc w:val="left"/>
            </w:pPr>
            <w:r>
              <w:t xml:space="preserve">Usable kcal total</w:t>
            </w:r>
          </w:p>
        </w:tc>
        <w:tc>
          <w:tcPr>
            <w:tcW w:type="dxa" w:w="2300"/>
            <w:tcMar>
              <w:top w:type="dxa" w:w="80"/>
              <w:left w:type="dxa" w:w="120"/>
              <w:bottom w:type="dxa" w:w="80"/>
              <w:right w:type="dxa" w:w="120"/>
            </w:tcMar>
          </w:tcPr>
          <w:p>
            <w:pPr>
              <w:jc w:val="right"/>
            </w:pPr>
            <w:r>
              <w:t xml:space="preserve">7,484</w:t>
            </w:r>
          </w:p>
        </w:tc>
        <w:tc>
          <w:tcPr>
            <w:tcW w:type="dxa" w:w="2300"/>
            <w:tcMar>
              <w:top w:type="dxa" w:w="80"/>
              <w:left w:type="dxa" w:w="120"/>
              <w:bottom w:type="dxa" w:w="80"/>
              <w:right w:type="dxa" w:w="120"/>
            </w:tcMar>
          </w:tcPr>
          <w:p>
            <w:pPr>
              <w:jc w:val="right"/>
            </w:pPr>
            <w:r>
              <w:t xml:space="preserve">6,502</w:t>
            </w:r>
          </w:p>
        </w:tc>
      </w:tr>
      <w:tr>
        <w:tc>
          <w:tcPr>
            <w:tcW w:type="dxa" w:w="4400"/>
            <w:tcMar>
              <w:top w:type="dxa" w:w="80"/>
              <w:left w:type="dxa" w:w="120"/>
              <w:bottom w:type="dxa" w:w="80"/>
              <w:right w:type="dxa" w:w="120"/>
            </w:tcMar>
          </w:tcPr>
          <w:p>
            <w:pPr>
              <w:jc w:val="left"/>
            </w:pPr>
            <w:r>
              <w:rPr>
                <w:b/>
                <w:bCs/>
              </w:rPr>
              <w:t xml:space="preserve">Breast-milk: weighted, no kcal</w:t>
            </w:r>
          </w:p>
        </w:tc>
        <w:tc>
          <w:tcPr>
            <w:tcW w:type="dxa" w:w="2300"/>
            <w:tcMar>
              <w:top w:type="dxa" w:w="80"/>
              <w:left w:type="dxa" w:w="120"/>
              <w:bottom w:type="dxa" w:w="80"/>
              <w:right w:type="dxa" w:w="120"/>
            </w:tcMar>
          </w:tcPr>
          <w:p>
            <w:pPr>
              <w:jc w:val="right"/>
            </w:pPr>
            <w:r>
              <w:rPr>
                <w:b/>
                <w:bCs/>
              </w:rPr>
              <w:t xml:space="preserve">157</w:t>
            </w:r>
          </w:p>
        </w:tc>
        <w:tc>
          <w:tcPr>
            <w:tcW w:type="dxa" w:w="2300"/>
            <w:tcMar>
              <w:top w:type="dxa" w:w="80"/>
              <w:left w:type="dxa" w:w="120"/>
              <w:bottom w:type="dxa" w:w="80"/>
              <w:right w:type="dxa" w:w="120"/>
            </w:tcMar>
          </w:tcPr>
          <w:p>
            <w:pPr>
              <w:jc w:val="right"/>
            </w:pPr>
            <w:r>
              <w:rPr>
                <w:b/>
                <w:bCs/>
              </w:rPr>
              <w:t xml:space="preserve">137</w:t>
            </w:r>
          </w:p>
        </w:tc>
      </w:tr>
    </w:tbl>
    <w:p>
      <w:pPr>
        <w:spacing w:after="200"/>
      </w:pPr>
    </w:p>
    <w:p>
      <w:pPr>
        <w:spacing w:after="160" w:line="276"/>
      </w:pPr>
      <w:r>
        <w:t xml:space="preserve">Both columns balance exactly: 7,484 + 157 = 7,641 and 6,502 + 137 = 6,639. Two occasions, one mechanism, no residual anomaly.</w:t>
      </w:r>
    </w:p>
    <w:p>
      <w:pPr>
        <w:pStyle w:val="Heading2"/>
        <w:spacing w:after="140" w:before="300"/>
      </w:pPr>
      <w:r>
        <w:t xml:space="preserve">Why the status code and not age</w:t>
      </w:r>
    </w:p>
    <w:p>
      <w:pPr>
        <w:spacing w:after="160" w:line="276"/>
      </w:pPr>
      <w:r>
        <w:t xml:space="preserve">The day-1 group was originally characterised by reasoning about who the cases must be. The status column names the mechanism outright:</w:t>
      </w:r>
    </w:p>
    <w:p>
      <w:pPr>
        <w:spacing w:after="0" w:before="40"/>
        <w:ind w:left="431"/>
      </w:pPr>
      <w:r>
        <w:rPr>
          <w:rFonts w:ascii="Consolas" w:cs="Consolas" w:eastAsia="Consolas" w:hAnsi="Consolas"/>
          <w:sz w:val="19"/>
          <w:szCs w:val="19"/>
        </w:rPr>
        <w:t xml:space="preserve">merged_all %&gt;%</w:t>
      </w:r>
    </w:p>
    <w:p>
      <w:pPr>
        <w:spacing w:after="0" w:before="0"/>
        <w:ind w:left="431"/>
      </w:pPr>
      <w:r>
        <w:rPr>
          <w:rFonts w:ascii="Consolas" w:cs="Consolas" w:eastAsia="Consolas" w:hAnsi="Consolas"/>
          <w:sz w:val="19"/>
          <w:szCs w:val="19"/>
        </w:rPr>
        <w:t xml:space="preserve">  filter(WTDRD1 &gt; 0, is.na(DR1TKCAL)) %&gt;%</w:t>
      </w:r>
    </w:p>
    <w:p>
      <w:pPr>
        <w:spacing w:after="0" w:before="0"/>
        <w:ind w:left="431"/>
      </w:pPr>
      <w:r>
        <w:rPr>
          <w:rFonts w:ascii="Consolas" w:cs="Consolas" w:eastAsia="Consolas" w:hAnsi="Consolas"/>
          <w:sz w:val="19"/>
          <w:szCs w:val="19"/>
        </w:rPr>
        <w:t xml:space="preserve">  count(DR1DRSTZ)</w:t>
      </w:r>
    </w:p>
    <w:p>
      <w:pPr>
        <w:spacing w:after="160" w:before="0"/>
        <w:ind w:left="431"/>
      </w:pPr>
      <w:r>
        <w:rPr>
          <w:rFonts w:ascii="Consolas" w:cs="Consolas" w:eastAsia="Consolas" w:hAnsi="Consolas"/>
          <w:sz w:val="19"/>
          <w:szCs w:val="19"/>
        </w:rPr>
        <w:t xml:space="preserve"># Reported consuming breast-milk   157</w:t>
      </w:r>
    </w:p>
    <w:p>
      <w:pPr>
        <w:spacing w:after="160" w:line="276"/>
      </w:pPr>
      <w:r>
        <w:t xml:space="preserve">All 157 fall under one label, with no other category present. On day 2 the same query returns 137, four of whom are aged 2 or over — still nursing at 24 months. An age-based rule set below that would have silently retained them; the status code catches them directly. The identification rule for the manuscript is therefore the status variable, on both days.</w:t>
      </w:r>
    </w:p>
    <w:p>
      <w:pPr>
        <w:pStyle w:val="Heading2"/>
        <w:spacing w:after="140" w:before="300"/>
      </w:pPr>
      <w:r>
        <w:t xml:space="preserve">Why it matters</w:t>
      </w:r>
    </w:p>
    <w:p>
      <w:pPr>
        <w:spacing w:after="160" w:line="276"/>
      </w:pPr>
      <w:r>
        <w:t xml:space="preserve">The design object promises 6,639 day-2 respondents; the outcome column delivers 6,502. Nothing in survey, lme4, WeMix or svylme connects the two — each will drop the missing values and report a fit. The estimand shifts from the US population to the US population excluding nursing children, and the only trace is a status code that no standard workflow joins on. A call to svymean(~DR1TKCAL, design) never reads DR1DRSTZ.</w:t>
      </w:r>
    </w:p>
    <w:p>
      <w:pPr>
        <w:pBdr>
          <w:bottom w:val="single" w:color="BFBFBF" w:sz="6" w:space="8"/>
        </w:pBdr>
        <w:spacing w:after="240" w:before="400"/>
      </w:pPr>
    </w:p>
    <w:p>
      <w:pPr>
        <w:pStyle w:val="Heading1"/>
      </w:pPr>
      <w:r>
        <w:t xml:space="preserve">Draft manuscript passages</w:t>
      </w:r>
    </w:p>
    <w:p>
      <w:pPr>
        <w:spacing w:after="220"/>
      </w:pPr>
      <w:r>
        <w:rPr>
          <w:i/>
          <w:iCs/>
          <w:color w:val="595959"/>
          <w:sz w:val="19"/>
          <w:szCs w:val="19"/>
        </w:rPr>
        <w:t xml:space="preserve">Both belong in the data section, not the discussion — they describe the analytic sample and carry the methodological point incidentally.</w:t>
      </w:r>
    </w:p>
    <w:p>
      <w:pPr>
        <w:pStyle w:val="Heading2"/>
      </w:pPr>
      <w:r>
        <w:t xml:space="preserve">On the weight partition</w:t>
      </w:r>
    </w:p>
    <w:p>
      <w:pPr>
        <w:spacing w:after="240" w:line="360"/>
        <w:ind w:left="431" w:right="431"/>
      </w:pPr>
      <w:r>
        <w:t xml:space="preserve">Two-day dietary weights (WTDR2D) are non-positive for 2,615 of the 9,254 interviewed participants, but the non-positive values are not homogeneous. NCHS assigns a missing value to 1,613 participants and an exact zero to 1,002. The distinction is structural: the missing values fall, by construction, on the complement of the day-1 analytic sample, for whom a two-day estimand is undefined, while the exact zeros identify participants who completed a day-1 recall and did not complete day 2. Analytic convention recodes both to zero so that zero-weight records remain in the design object and the stratum and PSU structure is preserved. This is correct for variance estimation and leaves the design degrees of freedom unchanged at 15. It also collapses two non-response mechanisms into one value. The denominator for day-2 non-response is 7,641 rather than 9,254, and after recoding, nothing in the design object records that fact.</w:t>
      </w:r>
    </w:p>
    <w:p>
      <w:pPr>
        <w:pStyle w:val="Heading2"/>
      </w:pPr>
      <w:r>
        <w:t xml:space="preserve">On the breast-milk cases</w:t>
      </w:r>
    </w:p>
    <w:p>
      <w:pPr>
        <w:spacing w:after="240" w:line="360"/>
        <w:ind w:left="431" w:right="431"/>
      </w:pPr>
      <w:r>
        <w:t xml:space="preserve">On both recall days a subset of participants receives a positive dietary weight while the energy total is missing: 157 on day 1 and 137 on day 2. These are not item non-response. The recall status variable (DR1DRSTZ, DR2DRSTZ) assigns every one of them to a single category indicating reported breast-milk consumption, which the instrument does not quantify. Identification is therefore exact and does not depend on an age rule; four of the day-2 cases are aged two or over and would be retained by a conventional infant cutoff. Because the weight is positive, these participants are members of the weighted population, but they contribute no outcome value. Complete-case analysis of energy intake consequently estimates a mean for the population excluding nursing children rather than for the population the weights describe. No warning is issued by any of the estimation routines considered here, and the shift is recorded only in a status variable that a standard weighted analysis never reads.</w:t>
      </w:r>
    </w:p>
    <w:p>
      <w:pPr>
        <w:pStyle w:val="Heading2"/>
      </w:pPr>
      <w:r>
        <w:t xml:space="preserve">Calibration</w:t>
      </w:r>
    </w:p>
    <w:p>
      <w:pPr>
        <w:spacing w:after="160" w:line="276"/>
      </w:pPr>
      <w:r>
        <w:t xml:space="preserve">Neither passage is a second novel contribution on the scale of the confint() finding, which is a demonstrable software defect with a number attached. Both are strong supporting evidence for the claim that design information travels in places analysts do not inspect. Presented together as a short subsection on missingness that survives preprocessing, they reinforce each other; scattered, each reads as a footnote about NHANES.</w:t>
      </w:r>
    </w:p>
    <w:p>
      <w:pPr>
        <w:pBdr>
          <w:bottom w:val="single" w:color="BFBFBF" w:sz="6" w:space="8"/>
        </w:pBdr>
        <w:spacing w:after="240" w:before="400"/>
      </w:pPr>
    </w:p>
    <w:p>
      <w:pPr>
        <w:pStyle w:val="Heading1"/>
      </w:pPr>
      <w:r>
        <w:t xml:space="preserve">Open threads</w:t>
      </w:r>
    </w:p>
    <w:p>
      <w:pPr>
        <w:pStyle w:val="ListParagraph"/>
        <w:numPr>
          <w:ilvl w:val="0"/>
          <w:numId w:val="2"/>
        </w:numPr>
        <w:spacing w:after="100"/>
      </w:pPr>
      <w:r>
        <w:t xml:space="preserve">Merge diet2_j into the pipeline; add DR2TOT_J to 01_download.R</w:t>
      </w:r>
    </w:p>
    <w:p>
      <w:pPr>
        <w:pStyle w:val="ListParagraph"/>
        <w:numPr>
          <w:ilvl w:val="0"/>
          <w:numId w:val="2"/>
        </w:numPr>
        <w:spacing w:after="100"/>
      </w:pPr>
      <w:r>
        <w:t xml:space="preserve">107 records below 500 kcal — plausibility floor vs. measurement-error framing (Lesson 6 fork)</w:t>
      </w:r>
    </w:p>
    <w:p>
      <w:pPr>
        <w:pStyle w:val="ListParagraph"/>
        <w:numPr>
          <w:ilvl w:val="0"/>
          <w:numId w:val="2"/>
        </w:numPr>
        <w:spacing w:after="100"/>
      </w:pPr>
      <w:r>
        <w:t xml:space="preserve">Uncommitted: edits to 02_merge.R and 04_design_2d.R</w:t>
      </w:r>
    </w:p>
    <w:p>
      <w:pPr>
        <w:pStyle w:val="ListParagraph"/>
        <w:numPr>
          <w:ilvl w:val="0"/>
          <w:numId w:val="2"/>
        </w:numPr>
        <w:spacing w:after="100"/>
      </w:pPr>
      <w:r>
        <w:t xml:space="preserve">left_join() silently renames colliding columns to .x / .y — candidate for the silent-failures list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b/>
      <w:bCs/>
      <w:sz w:val="36"/>
      <w:szCs w:val="36"/>
    </w:rPr>
  </w:style>
  <w:style w:type="paragraph" w:styleId="Heading1">
    <w:name w:val="Heading 1"/>
    <w:basedOn w:val="Normal"/>
    <w:next w:val="Normal"/>
    <w:qFormat/>
    <w:pPr>
      <w:spacing w:after="140" w:before="320"/>
    </w:pPr>
    <w:rPr>
      <w:b/>
      <w:bCs/>
      <w:sz w:val="28"/>
      <w:szCs w:val="28"/>
    </w:rPr>
  </w:style>
  <w:style w:type="paragraph" w:styleId="Heading2">
    <w:name w:val="Heading 2"/>
    <w:basedOn w:val="Normal"/>
    <w:next w:val="Normal"/>
    <w:qFormat/>
    <w:pPr>
      <w:spacing w:after="120" w:before="260"/>
    </w:pPr>
    <w:rPr>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2026-09-07T10:35:19.390Z</dcterms:created>
  <dcterms:modified xsi:type="dcterms:W3CDTF">2026-09-07T10:35:19.403Z</dcterms:modified>
</cp:coreProperties>
</file>

<file path=docProps/custom.xml><?xml version="1.0" encoding="utf-8"?>
<Properties xmlns="http://schemas.openxmlformats.org/officeDocument/2006/custom-properties" xmlns:vt="http://schemas.openxmlformats.org/officeDocument/2006/docPropsVTypes"/>
</file>