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spacing w:after="240" w:before="240" w:line="240" w:lineRule="auto"/>
        <w:jc w:val="center"/>
        <w:rPr>
          <w:b w:val="1"/>
        </w:rPr>
      </w:pPr>
      <w:r w:rsidDel="00000000" w:rsidR="00000000" w:rsidRPr="00000000">
        <w:rPr>
          <w:b w:val="1"/>
          <w:rtl w:val="0"/>
        </w:rPr>
        <w:t xml:space="preserve">Caros Gonzalez</w:t>
      </w:r>
    </w:p>
    <w:p w:rsidR="00000000" w:rsidDel="00000000" w:rsidP="00000000" w:rsidRDefault="00000000" w:rsidRPr="00000000" w14:paraId="00000002">
      <w:pPr>
        <w:spacing w:after="240" w:before="240" w:line="240" w:lineRule="auto"/>
        <w:jc w:val="center"/>
        <w:rPr>
          <w:sz w:val="40"/>
          <w:szCs w:val="40"/>
        </w:rPr>
      </w:pPr>
      <w:r w:rsidDel="00000000" w:rsidR="00000000" w:rsidRPr="00000000">
        <w:rPr>
          <w:b w:val="1"/>
          <w:rtl w:val="0"/>
        </w:rPr>
        <w:t xml:space="preserve">Jessica Diniz</w:t>
      </w:r>
      <w:r w:rsidDel="00000000" w:rsidR="00000000" w:rsidRPr="00000000">
        <w:rPr>
          <w:rtl w:val="0"/>
        </w:rPr>
      </w:r>
    </w:p>
    <w:p w:rsidR="00000000" w:rsidDel="00000000" w:rsidP="00000000" w:rsidRDefault="00000000" w:rsidRPr="00000000" w14:paraId="00000003">
      <w:pPr>
        <w:pStyle w:val="Heading3"/>
        <w:keepNext w:val="0"/>
        <w:keepLines w:val="0"/>
        <w:spacing w:after="240" w:before="240" w:line="240" w:lineRule="auto"/>
        <w:jc w:val="center"/>
        <w:rPr>
          <w:sz w:val="40"/>
          <w:szCs w:val="40"/>
        </w:rPr>
      </w:pPr>
      <w:bookmarkStart w:colFirst="0" w:colLast="0" w:name="_uv9sw382f5sb" w:id="0"/>
      <w:bookmarkEnd w:id="0"/>
      <w:r w:rsidDel="00000000" w:rsidR="00000000" w:rsidRPr="00000000">
        <w:rPr>
          <w:rtl w:val="0"/>
        </w:rPr>
      </w:r>
    </w:p>
    <w:p w:rsidR="00000000" w:rsidDel="00000000" w:rsidP="00000000" w:rsidRDefault="00000000" w:rsidRPr="00000000" w14:paraId="00000004">
      <w:pPr>
        <w:pStyle w:val="Heading3"/>
        <w:keepNext w:val="0"/>
        <w:keepLines w:val="0"/>
        <w:spacing w:after="240" w:before="240" w:line="240" w:lineRule="auto"/>
        <w:jc w:val="center"/>
        <w:rPr>
          <w:sz w:val="40"/>
          <w:szCs w:val="40"/>
        </w:rPr>
      </w:pPr>
      <w:bookmarkStart w:colFirst="0" w:colLast="0" w:name="_ecj1m7dj7qsw" w:id="1"/>
      <w:bookmarkEnd w:id="1"/>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pacing w:after="240" w:before="240" w:line="240" w:lineRule="auto"/>
        <w:jc w:val="center"/>
        <w:rPr>
          <w:sz w:val="40"/>
          <w:szCs w:val="40"/>
        </w:rPr>
      </w:pPr>
      <w:bookmarkStart w:colFirst="0" w:colLast="0" w:name="_uh1uig9uca62" w:id="2"/>
      <w:bookmarkEnd w:id="2"/>
      <w:r w:rsidDel="00000000" w:rsidR="00000000" w:rsidRPr="00000000">
        <w:rPr>
          <w:rtl w:val="0"/>
        </w:rPr>
      </w:r>
    </w:p>
    <w:p w:rsidR="00000000" w:rsidDel="00000000" w:rsidP="00000000" w:rsidRDefault="00000000" w:rsidRPr="00000000" w14:paraId="00000007">
      <w:pPr>
        <w:pStyle w:val="Heading3"/>
        <w:keepNext w:val="0"/>
        <w:keepLines w:val="0"/>
        <w:spacing w:after="240" w:before="240" w:line="240" w:lineRule="auto"/>
        <w:jc w:val="center"/>
        <w:rPr>
          <w:sz w:val="40"/>
          <w:szCs w:val="40"/>
        </w:rPr>
      </w:pPr>
      <w:bookmarkStart w:colFirst="0" w:colLast="0" w:name="_rkzebl2vl72r" w:id="3"/>
      <w:bookmarkEnd w:id="3"/>
      <w:r w:rsidDel="00000000" w:rsidR="00000000" w:rsidRPr="00000000">
        <w:rPr>
          <w:rtl w:val="0"/>
        </w:rPr>
      </w:r>
    </w:p>
    <w:p w:rsidR="00000000" w:rsidDel="00000000" w:rsidP="00000000" w:rsidRDefault="00000000" w:rsidRPr="00000000" w14:paraId="00000008">
      <w:pPr>
        <w:pStyle w:val="Heading3"/>
        <w:keepNext w:val="0"/>
        <w:keepLines w:val="0"/>
        <w:spacing w:after="240" w:before="240" w:line="240" w:lineRule="auto"/>
        <w:jc w:val="center"/>
        <w:rPr>
          <w:sz w:val="40"/>
          <w:szCs w:val="40"/>
        </w:rPr>
      </w:pPr>
      <w:bookmarkStart w:colFirst="0" w:colLast="0" w:name="_xil3qx9l5da0" w:id="4"/>
      <w:bookmarkEnd w:id="4"/>
      <w:r w:rsidDel="00000000" w:rsidR="00000000" w:rsidRPr="00000000">
        <w:rPr>
          <w:rtl w:val="0"/>
        </w:rPr>
      </w:r>
    </w:p>
    <w:p w:rsidR="00000000" w:rsidDel="00000000" w:rsidP="00000000" w:rsidRDefault="00000000" w:rsidRPr="00000000" w14:paraId="00000009">
      <w:pPr>
        <w:pStyle w:val="Heading3"/>
        <w:keepNext w:val="0"/>
        <w:keepLines w:val="0"/>
        <w:spacing w:after="240" w:before="240" w:line="240" w:lineRule="auto"/>
        <w:jc w:val="center"/>
        <w:rPr>
          <w:sz w:val="46"/>
          <w:szCs w:val="46"/>
        </w:rPr>
      </w:pPr>
      <w:bookmarkStart w:colFirst="0" w:colLast="0" w:name="_87om1ka1jh" w:id="5"/>
      <w:bookmarkEnd w:id="5"/>
      <w:r w:rsidDel="00000000" w:rsidR="00000000" w:rsidRPr="00000000">
        <w:rPr>
          <w:sz w:val="46"/>
          <w:szCs w:val="46"/>
          <w:rtl w:val="0"/>
        </w:rPr>
        <w:t xml:space="preserve">PRECIO DEL ALQUILER </w:t>
      </w:r>
    </w:p>
    <w:p w:rsidR="00000000" w:rsidDel="00000000" w:rsidP="00000000" w:rsidRDefault="00000000" w:rsidRPr="00000000" w14:paraId="0000000A">
      <w:pPr>
        <w:pStyle w:val="Heading3"/>
        <w:keepNext w:val="0"/>
        <w:keepLines w:val="0"/>
        <w:spacing w:after="240" w:before="240" w:line="240" w:lineRule="auto"/>
        <w:jc w:val="center"/>
        <w:rPr>
          <w:sz w:val="46"/>
          <w:szCs w:val="46"/>
        </w:rPr>
      </w:pPr>
      <w:bookmarkStart w:colFirst="0" w:colLast="0" w:name="_b42tyzixll3u" w:id="6"/>
      <w:bookmarkEnd w:id="6"/>
      <w:r w:rsidDel="00000000" w:rsidR="00000000" w:rsidRPr="00000000">
        <w:rPr>
          <w:sz w:val="46"/>
          <w:szCs w:val="46"/>
          <w:rtl w:val="0"/>
        </w:rPr>
        <w:t xml:space="preserve">EN BARCELONA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240" w:lineRule="auto"/>
        <w:jc w:val="center"/>
        <w:rPr>
          <w:b w:val="1"/>
          <w:sz w:val="28"/>
          <w:szCs w:val="28"/>
        </w:rPr>
      </w:pPr>
      <w:r w:rsidDel="00000000" w:rsidR="00000000" w:rsidRPr="00000000">
        <w:rPr>
          <w:b w:val="1"/>
          <w:sz w:val="28"/>
          <w:szCs w:val="28"/>
          <w:rtl w:val="0"/>
        </w:rPr>
        <w:t xml:space="preserve">Data Science</w:t>
      </w:r>
    </w:p>
    <w:p w:rsidR="00000000" w:rsidDel="00000000" w:rsidP="00000000" w:rsidRDefault="00000000" w:rsidRPr="00000000" w14:paraId="00000013">
      <w:pPr>
        <w:spacing w:after="240" w:before="240" w:line="240" w:lineRule="auto"/>
        <w:jc w:val="center"/>
        <w:rPr>
          <w:b w:val="1"/>
          <w:sz w:val="28"/>
          <w:szCs w:val="28"/>
        </w:rPr>
      </w:pPr>
      <w:r w:rsidDel="00000000" w:rsidR="00000000" w:rsidRPr="00000000">
        <w:rPr>
          <w:b w:val="1"/>
          <w:sz w:val="28"/>
          <w:szCs w:val="28"/>
          <w:rtl w:val="0"/>
        </w:rPr>
        <w:t xml:space="preserve">IronHack</w:t>
      </w:r>
    </w:p>
    <w:p w:rsidR="00000000" w:rsidDel="00000000" w:rsidP="00000000" w:rsidRDefault="00000000" w:rsidRPr="00000000" w14:paraId="00000014">
      <w:pPr>
        <w:spacing w:after="24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015">
      <w:pPr>
        <w:spacing w:after="24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016">
      <w:pPr>
        <w:spacing w:after="240" w:before="240" w:line="818.1818181818181" w:lineRule="auto"/>
        <w:jc w:val="center"/>
        <w:rPr>
          <w:b w:val="1"/>
        </w:rPr>
      </w:pPr>
      <w:r w:rsidDel="00000000" w:rsidR="00000000" w:rsidRPr="00000000">
        <w:rPr>
          <w:b w:val="1"/>
          <w:rtl w:val="0"/>
        </w:rPr>
        <w:t xml:space="preserve">27.07.2024</w:t>
      </w:r>
    </w:p>
    <w:p w:rsidR="00000000" w:rsidDel="00000000" w:rsidP="00000000" w:rsidRDefault="00000000" w:rsidRPr="00000000" w14:paraId="00000017">
      <w:pPr>
        <w:spacing w:after="240" w:before="240" w:line="818.1818181818181" w:lineRule="auto"/>
        <w:jc w:val="center"/>
        <w:rPr>
          <w:b w:val="1"/>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jc w:val="both"/>
        <w:rPr>
          <w:b w:val="1"/>
          <w:color w:val="000000"/>
          <w:sz w:val="26"/>
          <w:szCs w:val="26"/>
        </w:rPr>
      </w:pPr>
      <w:bookmarkStart w:colFirst="0" w:colLast="0" w:name="_nixd6qplfhyw" w:id="7"/>
      <w:bookmarkEnd w:id="7"/>
      <w:r w:rsidDel="00000000" w:rsidR="00000000" w:rsidRPr="00000000">
        <w:rPr>
          <w:rtl w:val="0"/>
        </w:rPr>
        <w:t xml:space="preserve">I</w:t>
      </w:r>
      <w:r w:rsidDel="00000000" w:rsidR="00000000" w:rsidRPr="00000000">
        <w:rPr>
          <w:b w:val="1"/>
          <w:color w:val="000000"/>
          <w:sz w:val="26"/>
          <w:szCs w:val="26"/>
          <w:rtl w:val="0"/>
        </w:rPr>
        <w:t xml:space="preserve">ntroducción</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En este proyecto, nos proponemos predecir el precio del alquiler en Barcelona en función de varias características determinadas. Utilizamos un conjunto de datos sobre precios de alquiler en Barcelona, que abarca el período desde 2014 hasta 2022. Este conjunto de datos ha sido elaborado y proporcionado por el Ajuntament de Barcelona (Ayuntamiento de Barcelona) y está disponible en Kaggle.</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Mediante el uso de varios modelos de Machine Learning, intentaremos predecir el precio del alquiler en Barcelona a lo largo de los años, buscando identificar tendencias y factores clave que afectan el mercado de alquiler en la ciudad.</w:t>
      </w:r>
    </w:p>
    <w:p w:rsidR="00000000" w:rsidDel="00000000" w:rsidP="00000000" w:rsidRDefault="00000000" w:rsidRPr="00000000" w14:paraId="0000001B">
      <w:pPr>
        <w:pStyle w:val="Heading3"/>
        <w:keepNext w:val="0"/>
        <w:keepLines w:val="0"/>
        <w:spacing w:before="280" w:lineRule="auto"/>
        <w:jc w:val="both"/>
        <w:rPr>
          <w:b w:val="1"/>
          <w:color w:val="000000"/>
          <w:sz w:val="26"/>
          <w:szCs w:val="26"/>
        </w:rPr>
      </w:pPr>
      <w:bookmarkStart w:colFirst="0" w:colLast="0" w:name="_c97i61oaibzc" w:id="8"/>
      <w:bookmarkEnd w:id="8"/>
      <w:r w:rsidDel="00000000" w:rsidR="00000000" w:rsidRPr="00000000">
        <w:rPr>
          <w:rtl w:val="0"/>
        </w:rPr>
      </w:r>
    </w:p>
    <w:p w:rsidR="00000000" w:rsidDel="00000000" w:rsidP="00000000" w:rsidRDefault="00000000" w:rsidRPr="00000000" w14:paraId="0000001C">
      <w:pPr>
        <w:pStyle w:val="Heading3"/>
        <w:keepNext w:val="0"/>
        <w:keepLines w:val="0"/>
        <w:rPr>
          <w:b w:val="1"/>
          <w:color w:val="000000"/>
          <w:sz w:val="26"/>
          <w:szCs w:val="26"/>
        </w:rPr>
      </w:pPr>
      <w:bookmarkStart w:colFirst="0" w:colLast="0" w:name="_sfelvxfp89ew" w:id="9"/>
      <w:bookmarkEnd w:id="9"/>
      <w:r w:rsidDel="00000000" w:rsidR="00000000" w:rsidRPr="00000000">
        <w:rPr>
          <w:rtl w:val="0"/>
        </w:rPr>
        <w:t xml:space="preserve">Acerca del Conjunto de Datos</w:t>
      </w:r>
      <w:r w:rsidDel="00000000" w:rsidR="00000000" w:rsidRPr="00000000">
        <w:rPr>
          <w:rtl w:val="0"/>
        </w:rPr>
      </w:r>
    </w:p>
    <w:p w:rsidR="00000000" w:rsidDel="00000000" w:rsidP="00000000" w:rsidRDefault="00000000" w:rsidRPr="00000000" w14:paraId="0000001D">
      <w:pPr>
        <w:spacing w:after="240" w:before="240" w:lineRule="auto"/>
        <w:jc w:val="both"/>
        <w:rPr/>
      </w:pPr>
      <w:r w:rsidDel="00000000" w:rsidR="00000000" w:rsidRPr="00000000">
        <w:rPr>
          <w:rtl w:val="0"/>
        </w:rPr>
        <w:t xml:space="preserve">Este conjunto de datos incluye información sobre los precios de alquiler en Barcelona, España. Los datos fueron recopilados durante el período de 2014 a 2022, divididos en trimestres. Los precios están organizados por barrios y distritos, lo que permite un análisis detallado de las variaciones geográficas dentro de la ciudad.</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Además, este conjunto de datos incluye tanto los precios mensuales como los precios por metro cuadrado, facilitando así la comparación entre diferentes inmuebles y áreas. Esto nos permitirá obtener una visión más precisa del mercado de alquiler en Barcelona y analizar las tendencias a lo largo del tiempo.</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Los datos se cargan desde un archivo CSV que contiene 4622 filas y 5 variables de diferentes tipos. Estas variables incluyen el año, la región y los precios.</w:t>
      </w:r>
    </w:p>
    <w:p w:rsidR="00000000" w:rsidDel="00000000" w:rsidP="00000000" w:rsidRDefault="00000000" w:rsidRPr="00000000" w14:paraId="00000020">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21">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22">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23">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24">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25">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26">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27">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28">
      <w:pPr>
        <w:pStyle w:val="Heading3"/>
        <w:keepNext w:val="0"/>
        <w:keepLines w:val="0"/>
        <w:numPr>
          <w:ilvl w:val="0"/>
          <w:numId w:val="2"/>
        </w:numPr>
        <w:spacing w:before="280" w:lineRule="auto"/>
        <w:ind w:left="720" w:hanging="360"/>
        <w:jc w:val="both"/>
        <w:rPr>
          <w:b w:val="1"/>
          <w:color w:val="000000"/>
          <w:sz w:val="26"/>
          <w:szCs w:val="26"/>
          <w:u w:val="none"/>
        </w:rPr>
      </w:pPr>
      <w:bookmarkStart w:colFirst="0" w:colLast="0" w:name="_mmihe576rmeg" w:id="10"/>
      <w:bookmarkEnd w:id="10"/>
      <w:r w:rsidDel="00000000" w:rsidR="00000000" w:rsidRPr="00000000">
        <w:rPr>
          <w:b w:val="1"/>
          <w:color w:val="000000"/>
          <w:sz w:val="26"/>
          <w:szCs w:val="26"/>
          <w:rtl w:val="0"/>
        </w:rPr>
        <w:t xml:space="preserve">Análisis del Negocio</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Para comprender mejor la repercusión de cada variable sobre el negocio y la variable objetivo, es crucial analizar los rangos, valores medios y otras características del conjunto de datos. Nuestro conjunto de datos consta de seis variables sin elementos faltantes ni nulos, divididas en  tres variables cuantitativas y dos variables cualitativas. </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La variable cualitativa dicotómica: “Average Rent”</w:t>
      </w:r>
      <w:r w:rsidDel="00000000" w:rsidR="00000000" w:rsidRPr="00000000">
        <w:rPr>
          <w:b w:val="1"/>
          <w:rtl w:val="0"/>
        </w:rPr>
        <w:t xml:space="preserve"> </w:t>
      </w:r>
      <w:r w:rsidDel="00000000" w:rsidR="00000000" w:rsidRPr="00000000">
        <w:rPr>
          <w:rtl w:val="0"/>
        </w:rPr>
        <w:t xml:space="preserve">estaba dividida en dos categorías y ambas con 2311 filas o registros:</w:t>
      </w:r>
    </w:p>
    <w:p w:rsidR="00000000" w:rsidDel="00000000" w:rsidP="00000000" w:rsidRDefault="00000000" w:rsidRPr="00000000" w14:paraId="0000002B">
      <w:pPr>
        <w:numPr>
          <w:ilvl w:val="0"/>
          <w:numId w:val="1"/>
        </w:numPr>
        <w:spacing w:after="0" w:afterAutospacing="0" w:before="240" w:lineRule="auto"/>
        <w:ind w:left="720" w:hanging="360"/>
        <w:jc w:val="both"/>
      </w:pPr>
      <w:r w:rsidDel="00000000" w:rsidR="00000000" w:rsidRPr="00000000">
        <w:rPr>
          <w:b w:val="1"/>
          <w:rtl w:val="0"/>
        </w:rPr>
        <w:t xml:space="preserve">Average Rent (euro/month)</w:t>
      </w:r>
      <w:r w:rsidDel="00000000" w:rsidR="00000000" w:rsidRPr="00000000">
        <w:rPr>
          <w:rtl w:val="0"/>
        </w:rPr>
        <w:t xml:space="preserve">: El alquiler promedio en euros por mes.</w:t>
      </w:r>
    </w:p>
    <w:p w:rsidR="00000000" w:rsidDel="00000000" w:rsidP="00000000" w:rsidRDefault="00000000" w:rsidRPr="00000000" w14:paraId="0000002C">
      <w:pPr>
        <w:numPr>
          <w:ilvl w:val="0"/>
          <w:numId w:val="1"/>
        </w:numPr>
        <w:spacing w:after="240" w:before="0" w:beforeAutospacing="0" w:lineRule="auto"/>
        <w:ind w:left="720" w:hanging="360"/>
        <w:jc w:val="both"/>
      </w:pPr>
      <w:r w:rsidDel="00000000" w:rsidR="00000000" w:rsidRPr="00000000">
        <w:rPr>
          <w:b w:val="1"/>
          <w:rtl w:val="0"/>
        </w:rPr>
        <w:t xml:space="preserve">Average Rent per Surface (euro/</w:t>
      </w:r>
      <w:r w:rsidDel="00000000" w:rsidR="00000000" w:rsidRPr="00000000">
        <w:rPr>
          <w:b w:val="1"/>
          <w:color w:val="1f1f1f"/>
          <w:sz w:val="24"/>
          <w:szCs w:val="24"/>
          <w:highlight w:val="white"/>
          <w:rtl w:val="0"/>
        </w:rPr>
        <w:t xml:space="preserve">m²</w:t>
      </w:r>
      <w:r w:rsidDel="00000000" w:rsidR="00000000" w:rsidRPr="00000000">
        <w:rPr>
          <w:b w:val="1"/>
          <w:rtl w:val="0"/>
        </w:rPr>
        <w:t xml:space="preserve">)</w:t>
      </w:r>
      <w:r w:rsidDel="00000000" w:rsidR="00000000" w:rsidRPr="00000000">
        <w:rPr>
          <w:rtl w:val="0"/>
        </w:rPr>
        <w:t xml:space="preserve">: El alquiler promedio por metro cuadrado en euros.</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Para facilitar el análisis y la comparación, hemos modificado el conjunto de datos y organizado una nueva columna que representa el precio por metro cuadrado (precio/</w:t>
      </w:r>
      <w:r w:rsidDel="00000000" w:rsidR="00000000" w:rsidRPr="00000000">
        <w:rPr>
          <w:color w:val="1f1f1f"/>
          <w:sz w:val="24"/>
          <w:szCs w:val="24"/>
          <w:highlight w:val="white"/>
          <w:rtl w:val="0"/>
        </w:rPr>
        <w:t xml:space="preserve">m²</w:t>
      </w:r>
      <w:r w:rsidDel="00000000" w:rsidR="00000000" w:rsidRPr="00000000">
        <w:rPr>
          <w:rtl w:val="0"/>
        </w:rPr>
        <w:t xml:space="preserve">). Esto nos permitirá tener una visión más clara de cómo varían los precios del alquiler según la superficie del inmueble, facilitando la comparación entre diferentes áreas y periodos de tiempo.</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Con esta modificación, tenemos las siguientes variables:</w:t>
      </w:r>
    </w:p>
    <w:p w:rsidR="00000000" w:rsidDel="00000000" w:rsidP="00000000" w:rsidRDefault="00000000" w:rsidRPr="00000000" w14:paraId="0000002F">
      <w:pPr>
        <w:pStyle w:val="Heading4"/>
        <w:keepNext w:val="0"/>
        <w:keepLines w:val="0"/>
        <w:spacing w:after="40" w:before="240" w:lineRule="auto"/>
        <w:jc w:val="both"/>
        <w:rPr>
          <w:color w:val="000000"/>
          <w:sz w:val="22"/>
          <w:szCs w:val="22"/>
          <w:u w:val="single"/>
        </w:rPr>
      </w:pPr>
      <w:bookmarkStart w:colFirst="0" w:colLast="0" w:name="_ueyccqt2oyi2" w:id="11"/>
      <w:bookmarkEnd w:id="11"/>
      <w:r w:rsidDel="00000000" w:rsidR="00000000" w:rsidRPr="00000000">
        <w:rPr>
          <w:color w:val="000000"/>
          <w:sz w:val="22"/>
          <w:szCs w:val="22"/>
          <w:u w:val="single"/>
          <w:rtl w:val="0"/>
        </w:rPr>
        <w:t xml:space="preserve">Variables Cuantitativas</w:t>
      </w:r>
    </w:p>
    <w:p w:rsidR="00000000" w:rsidDel="00000000" w:rsidP="00000000" w:rsidRDefault="00000000" w:rsidRPr="00000000" w14:paraId="00000030">
      <w:pPr>
        <w:numPr>
          <w:ilvl w:val="0"/>
          <w:numId w:val="9"/>
        </w:numPr>
        <w:spacing w:after="0" w:afterAutospacing="0" w:before="240" w:lineRule="auto"/>
        <w:ind w:left="708.6614173228347" w:hanging="360"/>
        <w:jc w:val="both"/>
        <w:rPr>
          <w:u w:val="none"/>
        </w:rPr>
      </w:pPr>
      <w:r w:rsidDel="00000000" w:rsidR="00000000" w:rsidRPr="00000000">
        <w:rPr>
          <w:b w:val="1"/>
          <w:rtl w:val="0"/>
        </w:rPr>
        <w:t xml:space="preserve">Año</w:t>
      </w:r>
      <w:r w:rsidDel="00000000" w:rsidR="00000000" w:rsidRPr="00000000">
        <w:rPr>
          <w:rtl w:val="0"/>
        </w:rPr>
        <w:t xml:space="preserve"> (Year): Representa el año en el que se registraron los datos. </w:t>
        <w:tab/>
        <w:tab/>
        <w:tab/>
        <w:tab/>
      </w:r>
      <w:r w:rsidDel="00000000" w:rsidR="00000000" w:rsidRPr="00000000">
        <w:rPr>
          <w:rtl w:val="0"/>
        </w:rPr>
        <w:t xml:space="preserve">Rango de datos:</w:t>
      </w:r>
      <w:r w:rsidDel="00000000" w:rsidR="00000000" w:rsidRPr="00000000">
        <w:rPr>
          <w:rtl w:val="0"/>
        </w:rPr>
        <w:t xml:space="preserve"> 2014 a 2022</w:t>
      </w:r>
    </w:p>
    <w:p w:rsidR="00000000" w:rsidDel="00000000" w:rsidP="00000000" w:rsidRDefault="00000000" w:rsidRPr="00000000" w14:paraId="00000031">
      <w:pPr>
        <w:numPr>
          <w:ilvl w:val="0"/>
          <w:numId w:val="9"/>
        </w:numPr>
        <w:spacing w:after="0" w:afterAutospacing="0" w:before="0" w:beforeAutospacing="0" w:lineRule="auto"/>
        <w:ind w:left="708.6614173228347" w:hanging="360"/>
        <w:jc w:val="both"/>
        <w:rPr>
          <w:u w:val="none"/>
        </w:rPr>
      </w:pPr>
      <w:r w:rsidDel="00000000" w:rsidR="00000000" w:rsidRPr="00000000">
        <w:rPr>
          <w:b w:val="1"/>
          <w:rtl w:val="0"/>
        </w:rPr>
        <w:t xml:space="preserve">Trimestre</w:t>
      </w:r>
      <w:r w:rsidDel="00000000" w:rsidR="00000000" w:rsidRPr="00000000">
        <w:rPr>
          <w:rtl w:val="0"/>
        </w:rPr>
        <w:t xml:space="preserve"> (Trimester): Indica el trimestre del año en el que se recopilaron los datos.</w:t>
        <w:tab/>
        <w:t xml:space="preserve">Rango de datos: 1 a 4</w:t>
      </w:r>
    </w:p>
    <w:p w:rsidR="00000000" w:rsidDel="00000000" w:rsidP="00000000" w:rsidRDefault="00000000" w:rsidRPr="00000000" w14:paraId="00000032">
      <w:pPr>
        <w:numPr>
          <w:ilvl w:val="0"/>
          <w:numId w:val="9"/>
        </w:numPr>
        <w:spacing w:after="0" w:afterAutospacing="0" w:before="0" w:beforeAutospacing="0" w:lineRule="auto"/>
        <w:ind w:left="708.6614173228347" w:hanging="360"/>
        <w:jc w:val="both"/>
        <w:rPr>
          <w:u w:val="none"/>
        </w:rPr>
      </w:pPr>
      <w:r w:rsidDel="00000000" w:rsidR="00000000" w:rsidRPr="00000000">
        <w:rPr>
          <w:b w:val="1"/>
          <w:rtl w:val="0"/>
        </w:rPr>
        <w:t xml:space="preserve">Precio por mes</w:t>
      </w:r>
      <w:r w:rsidDel="00000000" w:rsidR="00000000" w:rsidRPr="00000000">
        <w:rPr>
          <w:rtl w:val="0"/>
        </w:rPr>
        <w:t xml:space="preserve"> (Price/month): El precio del alquiler por mes en euros. </w:t>
        <w:tab/>
        <w:tab/>
        <w:tab/>
        <w:t xml:space="preserve">Rango de datos: 187 a 2034</w:t>
      </w:r>
    </w:p>
    <w:p w:rsidR="00000000" w:rsidDel="00000000" w:rsidP="00000000" w:rsidRDefault="00000000" w:rsidRPr="00000000" w14:paraId="00000033">
      <w:pPr>
        <w:numPr>
          <w:ilvl w:val="0"/>
          <w:numId w:val="9"/>
        </w:numPr>
        <w:spacing w:after="240" w:before="0" w:beforeAutospacing="0" w:lineRule="auto"/>
        <w:ind w:left="708.6614173228347" w:hanging="360"/>
        <w:jc w:val="both"/>
        <w:rPr>
          <w:u w:val="none"/>
        </w:rPr>
      </w:pPr>
      <w:r w:rsidDel="00000000" w:rsidR="00000000" w:rsidRPr="00000000">
        <w:rPr>
          <w:b w:val="1"/>
          <w:rtl w:val="0"/>
        </w:rPr>
        <w:t xml:space="preserve">Precio por metro cuadrado</w:t>
      </w:r>
      <w:r w:rsidDel="00000000" w:rsidR="00000000" w:rsidRPr="00000000">
        <w:rPr>
          <w:rtl w:val="0"/>
        </w:rPr>
        <w:t xml:space="preserve"> (Price/meter): El precio del alquiler por metro cuadrado en euros. </w:t>
        <w:tab/>
        <w:tab/>
        <w:tab/>
        <w:tab/>
        <w:tab/>
        <w:tab/>
        <w:tab/>
        <w:tab/>
        <w:tab/>
        <w:tab/>
        <w:tab/>
        <w:tab/>
        <w:t xml:space="preserve">Rango de datos: 4 a 18</w:t>
      </w:r>
    </w:p>
    <w:p w:rsidR="00000000" w:rsidDel="00000000" w:rsidP="00000000" w:rsidRDefault="00000000" w:rsidRPr="00000000" w14:paraId="00000034">
      <w:pPr>
        <w:pStyle w:val="Heading4"/>
        <w:keepNext w:val="0"/>
        <w:keepLines w:val="0"/>
        <w:spacing w:after="40" w:before="240" w:lineRule="auto"/>
        <w:jc w:val="both"/>
        <w:rPr>
          <w:color w:val="000000"/>
          <w:sz w:val="22"/>
          <w:szCs w:val="22"/>
          <w:u w:val="single"/>
        </w:rPr>
      </w:pPr>
      <w:bookmarkStart w:colFirst="0" w:colLast="0" w:name="_v2oqdpmov4g" w:id="12"/>
      <w:bookmarkEnd w:id="12"/>
      <w:r w:rsidDel="00000000" w:rsidR="00000000" w:rsidRPr="00000000">
        <w:rPr>
          <w:color w:val="000000"/>
          <w:sz w:val="22"/>
          <w:szCs w:val="22"/>
          <w:u w:val="single"/>
          <w:rtl w:val="0"/>
        </w:rPr>
        <w:t xml:space="preserve">Variables Cualitativas</w:t>
      </w:r>
    </w:p>
    <w:p w:rsidR="00000000" w:rsidDel="00000000" w:rsidP="00000000" w:rsidRDefault="00000000" w:rsidRPr="00000000" w14:paraId="00000035">
      <w:pPr>
        <w:numPr>
          <w:ilvl w:val="0"/>
          <w:numId w:val="12"/>
        </w:numPr>
        <w:spacing w:after="0" w:afterAutospacing="0" w:before="240" w:lineRule="auto"/>
        <w:ind w:left="720" w:hanging="360"/>
        <w:jc w:val="both"/>
      </w:pPr>
      <w:r w:rsidDel="00000000" w:rsidR="00000000" w:rsidRPr="00000000">
        <w:rPr>
          <w:b w:val="1"/>
          <w:rtl w:val="0"/>
        </w:rPr>
        <w:t xml:space="preserve">Distrito</w:t>
      </w:r>
      <w:r w:rsidDel="00000000" w:rsidR="00000000" w:rsidRPr="00000000">
        <w:rPr>
          <w:rtl w:val="0"/>
        </w:rPr>
        <w:t xml:space="preserve"> (District): Variable politómica que indica el distrito de Barcelona al que pertenece el inmueble. </w:t>
        <w:tab/>
        <w:tab/>
        <w:tab/>
        <w:tab/>
        <w:tab/>
        <w:tab/>
        <w:tab/>
        <w:tab/>
        <w:t xml:space="preserve">Clasificación: 10 distritos</w:t>
        <w:tab/>
        <w:tab/>
        <w:tab/>
        <w:tab/>
        <w:tab/>
        <w:tab/>
        <w:tab/>
        <w:tab/>
        <w:tab/>
      </w:r>
    </w:p>
    <w:p w:rsidR="00000000" w:rsidDel="00000000" w:rsidP="00000000" w:rsidRDefault="00000000" w:rsidRPr="00000000" w14:paraId="00000036">
      <w:pPr>
        <w:numPr>
          <w:ilvl w:val="0"/>
          <w:numId w:val="12"/>
        </w:numPr>
        <w:spacing w:after="240" w:before="0" w:beforeAutospacing="0" w:lineRule="auto"/>
        <w:ind w:left="720" w:hanging="360"/>
        <w:jc w:val="both"/>
      </w:pPr>
      <w:r w:rsidDel="00000000" w:rsidR="00000000" w:rsidRPr="00000000">
        <w:rPr>
          <w:b w:val="1"/>
          <w:rtl w:val="0"/>
        </w:rPr>
        <w:t xml:space="preserve">Barrio</w:t>
      </w:r>
      <w:r w:rsidDel="00000000" w:rsidR="00000000" w:rsidRPr="00000000">
        <w:rPr>
          <w:rtl w:val="0"/>
        </w:rPr>
        <w:t xml:space="preserve"> (Neighbourhood): Variable politómica que especifica el barrio dentro del distrito. Clasificación: 77 Barrios</w:t>
      </w:r>
    </w:p>
    <w:p w:rsidR="00000000" w:rsidDel="00000000" w:rsidP="00000000" w:rsidRDefault="00000000" w:rsidRPr="00000000" w14:paraId="00000037">
      <w:pPr>
        <w:spacing w:after="240" w:before="240" w:lineRule="auto"/>
        <w:jc w:val="both"/>
        <w:rPr/>
      </w:pPr>
      <w:r w:rsidDel="00000000" w:rsidR="00000000" w:rsidRPr="00000000">
        <w:rPr>
          <w:rtl w:val="0"/>
        </w:rPr>
      </w:r>
    </w:p>
    <w:p w:rsidR="00000000" w:rsidDel="00000000" w:rsidP="00000000" w:rsidRDefault="00000000" w:rsidRPr="00000000" w14:paraId="00000038">
      <w:pPr>
        <w:spacing w:after="240" w:before="240" w:lineRule="auto"/>
        <w:jc w:val="both"/>
        <w:rPr/>
      </w:pPr>
      <w:r w:rsidDel="00000000" w:rsidR="00000000" w:rsidRPr="00000000">
        <w:rPr>
          <w:rtl w:val="0"/>
        </w:rPr>
      </w:r>
    </w:p>
    <w:p w:rsidR="00000000" w:rsidDel="00000000" w:rsidP="00000000" w:rsidRDefault="00000000" w:rsidRPr="00000000" w14:paraId="00000039">
      <w:pPr>
        <w:pStyle w:val="Heading3"/>
        <w:keepNext w:val="0"/>
        <w:keepLines w:val="0"/>
        <w:numPr>
          <w:ilvl w:val="0"/>
          <w:numId w:val="2"/>
        </w:numPr>
        <w:spacing w:before="280" w:lineRule="auto"/>
        <w:ind w:left="720" w:hanging="360"/>
        <w:jc w:val="both"/>
        <w:rPr>
          <w:b w:val="1"/>
          <w:color w:val="000000"/>
          <w:sz w:val="26"/>
          <w:szCs w:val="26"/>
          <w:u w:val="none"/>
        </w:rPr>
      </w:pPr>
      <w:bookmarkStart w:colFirst="0" w:colLast="0" w:name="_kql840vd6ooh" w:id="13"/>
      <w:bookmarkEnd w:id="13"/>
      <w:r w:rsidDel="00000000" w:rsidR="00000000" w:rsidRPr="00000000">
        <w:rPr>
          <w:b w:val="1"/>
          <w:color w:val="000000"/>
          <w:sz w:val="26"/>
          <w:szCs w:val="26"/>
          <w:rtl w:val="0"/>
        </w:rPr>
        <w:t xml:space="preserve">Análisis Exploratorio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keepNext w:val="0"/>
        <w:keepLines w:val="0"/>
        <w:ind w:left="0" w:firstLine="0"/>
        <w:rPr>
          <w:b w:val="0"/>
          <w:color w:val="000000"/>
          <w:sz w:val="22"/>
          <w:szCs w:val="22"/>
        </w:rPr>
      </w:pPr>
      <w:bookmarkStart w:colFirst="0" w:colLast="0" w:name="_7thwr2v5l7z8" w:id="14"/>
      <w:bookmarkEnd w:id="14"/>
      <w:r w:rsidDel="00000000" w:rsidR="00000000" w:rsidRPr="00000000">
        <w:rPr>
          <w:rtl w:val="0"/>
        </w:rPr>
        <w:t xml:space="preserve">Variable Objetivo</w:t>
      </w:r>
      <w:r w:rsidDel="00000000" w:rsidR="00000000" w:rsidRPr="00000000">
        <w:rPr>
          <w:b w:val="1"/>
          <w:color w:val="000000"/>
          <w:sz w:val="22"/>
          <w:szCs w:val="22"/>
          <w:rtl w:val="0"/>
        </w:rPr>
        <w:t xml:space="preserve">:</w:t>
      </w:r>
      <w:r w:rsidDel="00000000" w:rsidR="00000000" w:rsidRPr="00000000">
        <w:rPr>
          <w:rtl w:val="0"/>
        </w:rPr>
        <w:t xml:space="preserve"> </w:t>
      </w:r>
      <w:r w:rsidDel="00000000" w:rsidR="00000000" w:rsidRPr="00000000">
        <w:rPr>
          <w:b w:val="0"/>
          <w:color w:val="000000"/>
          <w:sz w:val="22"/>
          <w:szCs w:val="22"/>
          <w:rtl w:val="0"/>
        </w:rPr>
        <w:t xml:space="preserve">Precio por Metro Cuadrado (Price/m2)</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pStyle w:val="Heading5"/>
        <w:keepNext w:val="0"/>
        <w:keepLines w:val="0"/>
        <w:numPr>
          <w:ilvl w:val="1"/>
          <w:numId w:val="14"/>
        </w:numPr>
        <w:spacing w:after="40" w:before="220" w:lineRule="auto"/>
        <w:ind w:left="1440" w:hanging="360"/>
        <w:jc w:val="both"/>
        <w:rPr>
          <w:b w:val="1"/>
          <w:color w:val="000000"/>
          <w:sz w:val="20"/>
          <w:szCs w:val="20"/>
          <w:u w:val="none"/>
        </w:rPr>
      </w:pPr>
      <w:bookmarkStart w:colFirst="0" w:colLast="0" w:name="_ubluf77dbtzr" w:id="15"/>
      <w:bookmarkEnd w:id="15"/>
      <w:r w:rsidDel="00000000" w:rsidR="00000000" w:rsidRPr="00000000">
        <w:rPr>
          <w:b w:val="1"/>
          <w:color w:val="000000"/>
          <w:sz w:val="20"/>
          <w:szCs w:val="20"/>
          <w:rtl w:val="0"/>
        </w:rPr>
        <w:t xml:space="preserve">Tipo de Dato: </w:t>
      </w:r>
      <w:r w:rsidDel="00000000" w:rsidR="00000000" w:rsidRPr="00000000">
        <w:rPr>
          <w:color w:val="000000"/>
          <w:rtl w:val="0"/>
        </w:rPr>
        <w:t xml:space="preserve">La variable objetivo es el precio por m2, que es un dato numérico continuo. Esto significa que el precio por metro cuadrado puede tomar cualquier valor dentro de un rango determinado y se mide en euros por metro cuadrado.</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pStyle w:val="Heading5"/>
        <w:keepNext w:val="0"/>
        <w:keepLines w:val="0"/>
        <w:numPr>
          <w:ilvl w:val="1"/>
          <w:numId w:val="14"/>
        </w:numPr>
        <w:spacing w:after="40" w:before="220" w:lineRule="auto"/>
        <w:ind w:left="1440" w:hanging="360"/>
        <w:jc w:val="both"/>
        <w:rPr>
          <w:b w:val="1"/>
          <w:color w:val="000000"/>
          <w:sz w:val="20"/>
          <w:szCs w:val="20"/>
          <w:u w:val="none"/>
        </w:rPr>
      </w:pPr>
      <w:bookmarkStart w:colFirst="0" w:colLast="0" w:name="_yggwkfrbpjns" w:id="16"/>
      <w:bookmarkEnd w:id="16"/>
      <w:r w:rsidDel="00000000" w:rsidR="00000000" w:rsidRPr="00000000">
        <w:rPr>
          <w:b w:val="1"/>
          <w:color w:val="000000"/>
          <w:sz w:val="20"/>
          <w:szCs w:val="20"/>
          <w:rtl w:val="0"/>
        </w:rPr>
        <w:t xml:space="preserve">Estadística Descriptiva: </w:t>
      </w:r>
      <w:r w:rsidDel="00000000" w:rsidR="00000000" w:rsidRPr="00000000">
        <w:rPr>
          <w:color w:val="000000"/>
          <w:rtl w:val="0"/>
        </w:rPr>
        <w:t xml:space="preserve">Para la variable objetivo fue calculado las siguientes estadísticas descriptivas por año: Media, máximo, mínimo, mediana y desviación estándar.</w:t>
      </w:r>
      <w:r w:rsidDel="00000000" w:rsidR="00000000" w:rsidRPr="00000000">
        <w:rPr>
          <w:rtl w:val="0"/>
        </w:rPr>
      </w:r>
    </w:p>
    <w:p w:rsidR="00000000" w:rsidDel="00000000" w:rsidP="00000000" w:rsidRDefault="00000000" w:rsidRPr="00000000" w14:paraId="00000040">
      <w:pPr>
        <w:spacing w:after="240" w:before="240" w:lineRule="auto"/>
        <w:ind w:left="0" w:firstLine="0"/>
        <w:jc w:val="both"/>
        <w:rPr/>
      </w:pPr>
      <w:r w:rsidDel="00000000" w:rsidR="00000000" w:rsidRPr="00000000">
        <w:rPr>
          <w:b w:val="1"/>
          <w:rtl w:val="0"/>
        </w:rPr>
        <w:t xml:space="preserve">Media</w:t>
      </w:r>
      <w:r w:rsidDel="00000000" w:rsidR="00000000" w:rsidRPr="00000000">
        <w:rPr>
          <w:rtl w:val="0"/>
        </w:rPr>
        <w:t xml:space="preserve">: El precio medio de alquiler ha aumentado consistentemente de 9.73 en2014 a 13.35 en 2022.</w:t>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167687</wp:posOffset>
            </wp:positionV>
            <wp:extent cx="2728913" cy="2300483"/>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728913" cy="2300483"/>
                    </a:xfrm>
                    <a:prstGeom prst="rect"/>
                    <a:ln/>
                  </pic:spPr>
                </pic:pic>
              </a:graphicData>
            </a:graphic>
          </wp:anchor>
        </w:drawing>
      </w:r>
    </w:p>
    <w:p w:rsidR="00000000" w:rsidDel="00000000" w:rsidP="00000000" w:rsidRDefault="00000000" w:rsidRPr="00000000" w14:paraId="00000041">
      <w:pPr>
        <w:spacing w:after="240" w:before="240" w:lineRule="auto"/>
        <w:ind w:left="720" w:firstLine="0"/>
        <w:jc w:val="both"/>
        <w:rPr/>
      </w:pPr>
      <w:r w:rsidDel="00000000" w:rsidR="00000000" w:rsidRPr="00000000">
        <w:rPr>
          <w:b w:val="1"/>
          <w:rtl w:val="0"/>
        </w:rPr>
        <w:t xml:space="preserve">Máximos y Mínimos</w:t>
      </w:r>
      <w:r w:rsidDel="00000000" w:rsidR="00000000" w:rsidRPr="00000000">
        <w:rPr>
          <w:rtl w:val="0"/>
        </w:rPr>
        <w:t xml:space="preserve">: El precio máximo de alquiler ha aumentado de 16.14 en 2014 a 21.30 en 2022. El precio mínimo no muestra una tendencia tan clara, con fluctuaciones a lo largo de los años.Esto puede se dar por varias razones como, por ejemplo, la nueva ley de alquileres o la influencia del Covid19.</w:t>
      </w:r>
    </w:p>
    <w:p w:rsidR="00000000" w:rsidDel="00000000" w:rsidP="00000000" w:rsidRDefault="00000000" w:rsidRPr="00000000" w14:paraId="00000042">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043">
      <w:pPr>
        <w:spacing w:after="240" w:before="240" w:lineRule="auto"/>
        <w:ind w:left="720" w:firstLine="0"/>
        <w:jc w:val="both"/>
        <w:rPr/>
      </w:pPr>
      <w:r w:rsidDel="00000000" w:rsidR="00000000" w:rsidRPr="00000000">
        <w:rPr>
          <w:b w:val="1"/>
          <w:rtl w:val="0"/>
        </w:rPr>
        <w:t xml:space="preserve">Mediana de los Precios</w:t>
      </w:r>
      <w:r w:rsidDel="00000000" w:rsidR="00000000" w:rsidRPr="00000000">
        <w:rPr>
          <w:rtl w:val="0"/>
        </w:rPr>
        <w:t xml:space="preserve">: La mediana de los precios sigue una tendencia similar a la media, aumentando de 9.66 en 2014 a 13.40 en 2022.</w:t>
      </w:r>
    </w:p>
    <w:p w:rsidR="00000000" w:rsidDel="00000000" w:rsidP="00000000" w:rsidRDefault="00000000" w:rsidRPr="00000000" w14:paraId="00000044">
      <w:pPr>
        <w:spacing w:after="240" w:before="240" w:lineRule="auto"/>
        <w:ind w:left="720" w:firstLine="0"/>
        <w:jc w:val="both"/>
        <w:rPr/>
      </w:pPr>
      <w:r w:rsidDel="00000000" w:rsidR="00000000" w:rsidRPr="00000000">
        <w:rPr>
          <w:b w:val="1"/>
          <w:rtl w:val="0"/>
        </w:rPr>
        <w:t xml:space="preserve">Desviación Estándar (std)</w:t>
      </w:r>
      <w:r w:rsidDel="00000000" w:rsidR="00000000" w:rsidRPr="00000000">
        <w:rPr>
          <w:rtl w:val="0"/>
        </w:rPr>
        <w:t xml:space="preserve">: La desviación estándar ha fluctuado, indicando variabilidad en la dispersión de los precios de alquiler. En 2014, la desviación estándar era de 1.76, y alcanzó un pico en 2017 con 2.47, antes de estabilizarse alrededor de 1.70 a 2.27 en los últimos años.</w:t>
      </w:r>
    </w:p>
    <w:p w:rsidR="00000000" w:rsidDel="00000000" w:rsidP="00000000" w:rsidRDefault="00000000" w:rsidRPr="00000000" w14:paraId="00000045">
      <w:pPr>
        <w:spacing w:after="240" w:before="240" w:lineRule="auto"/>
        <w:ind w:left="720" w:firstLine="0"/>
        <w:rPr/>
      </w:pPr>
      <w:r w:rsidDel="00000000" w:rsidR="00000000" w:rsidRPr="00000000">
        <w:rPr>
          <w:rtl w:val="0"/>
        </w:rPr>
      </w:r>
    </w:p>
    <w:p w:rsidR="00000000" w:rsidDel="00000000" w:rsidP="00000000" w:rsidRDefault="00000000" w:rsidRPr="00000000" w14:paraId="00000046">
      <w:pPr>
        <w:spacing w:after="240" w:before="240" w:lineRule="auto"/>
        <w:ind w:left="720" w:firstLine="0"/>
        <w:rPr/>
      </w:pPr>
      <w:r w:rsidDel="00000000" w:rsidR="00000000" w:rsidRPr="00000000">
        <w:rPr>
          <w:rtl w:val="0"/>
        </w:rPr>
      </w:r>
    </w:p>
    <w:p w:rsidR="00000000" w:rsidDel="00000000" w:rsidP="00000000" w:rsidRDefault="00000000" w:rsidRPr="00000000" w14:paraId="00000047">
      <w:pPr>
        <w:spacing w:after="240" w:before="240" w:lineRule="auto"/>
        <w:ind w:left="720" w:firstLine="0"/>
        <w:rPr/>
      </w:pPr>
      <w:r w:rsidDel="00000000" w:rsidR="00000000" w:rsidRPr="00000000">
        <w:rPr>
          <w:rtl w:val="0"/>
        </w:rPr>
      </w:r>
    </w:p>
    <w:p w:rsidR="00000000" w:rsidDel="00000000" w:rsidP="00000000" w:rsidRDefault="00000000" w:rsidRPr="00000000" w14:paraId="00000048">
      <w:pPr>
        <w:spacing w:after="240" w:before="240" w:lineRule="auto"/>
        <w:ind w:left="0" w:firstLine="0"/>
        <w:rPr/>
      </w:pPr>
      <w:r w:rsidDel="00000000" w:rsidR="00000000" w:rsidRPr="00000000">
        <w:rPr>
          <w:rtl w:val="0"/>
        </w:rPr>
      </w:r>
    </w:p>
    <w:p w:rsidR="00000000" w:rsidDel="00000000" w:rsidP="00000000" w:rsidRDefault="00000000" w:rsidRPr="00000000" w14:paraId="00000049">
      <w:pPr>
        <w:numPr>
          <w:ilvl w:val="1"/>
          <w:numId w:val="14"/>
        </w:numPr>
        <w:ind w:left="1440" w:hanging="360"/>
      </w:pPr>
      <w:r w:rsidDel="00000000" w:rsidR="00000000" w:rsidRPr="00000000">
        <w:rPr>
          <w:b w:val="1"/>
          <w:sz w:val="20"/>
          <w:szCs w:val="20"/>
          <w:rtl w:val="0"/>
        </w:rPr>
        <w:t xml:space="preserve">Distribución de frecuencia:</w: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1347788</wp:posOffset>
            </wp:positionH>
            <wp:positionV relativeFrom="paragraph">
              <wp:posOffset>228600</wp:posOffset>
            </wp:positionV>
            <wp:extent cx="3243728" cy="2573272"/>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243728" cy="2573272"/>
                    </a:xfrm>
                    <a:prstGeom prst="rect"/>
                    <a:ln/>
                  </pic:spPr>
                </pic:pic>
              </a:graphicData>
            </a:graphic>
          </wp:anchor>
        </w:drawing>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7"/>
        </w:numPr>
        <w:spacing w:after="0" w:afterAutospacing="0" w:before="240" w:lineRule="auto"/>
        <w:ind w:left="720" w:hanging="360"/>
      </w:pPr>
      <w:r w:rsidDel="00000000" w:rsidR="00000000" w:rsidRPr="00000000">
        <w:rPr>
          <w:rtl w:val="0"/>
        </w:rPr>
        <w:t xml:space="preserve">Forma: Aproximadamente simétrica con ligera desviación a la derecha.</w:t>
      </w:r>
    </w:p>
    <w:p w:rsidR="00000000" w:rsidDel="00000000" w:rsidP="00000000" w:rsidRDefault="00000000" w:rsidRPr="00000000" w14:paraId="00000058">
      <w:pPr>
        <w:numPr>
          <w:ilvl w:val="0"/>
          <w:numId w:val="7"/>
        </w:numPr>
        <w:spacing w:after="0" w:afterAutospacing="0" w:before="0" w:beforeAutospacing="0" w:lineRule="auto"/>
        <w:ind w:left="720" w:hanging="360"/>
      </w:pPr>
      <w:r w:rsidDel="00000000" w:rsidR="00000000" w:rsidRPr="00000000">
        <w:rPr>
          <w:rtl w:val="0"/>
        </w:rPr>
        <w:t xml:space="preserve">Centro: Pico alrededor de 12.5 euros/m², indicando la mayoría de los alquileres.</w:t>
      </w:r>
    </w:p>
    <w:p w:rsidR="00000000" w:rsidDel="00000000" w:rsidP="00000000" w:rsidRDefault="00000000" w:rsidRPr="00000000" w14:paraId="00000059">
      <w:pPr>
        <w:numPr>
          <w:ilvl w:val="0"/>
          <w:numId w:val="7"/>
        </w:numPr>
        <w:spacing w:after="0" w:afterAutospacing="0" w:before="0" w:beforeAutospacing="0" w:lineRule="auto"/>
        <w:ind w:left="720" w:hanging="360"/>
      </w:pPr>
      <w:r w:rsidDel="00000000" w:rsidR="00000000" w:rsidRPr="00000000">
        <w:rPr>
          <w:rtl w:val="0"/>
        </w:rPr>
        <w:t xml:space="preserve">Rango: De 2.5 a 20+ euros/m², mostrando amplia variabilidad.</w:t>
      </w:r>
    </w:p>
    <w:p w:rsidR="00000000" w:rsidDel="00000000" w:rsidP="00000000" w:rsidRDefault="00000000" w:rsidRPr="00000000" w14:paraId="0000005A">
      <w:pPr>
        <w:numPr>
          <w:ilvl w:val="0"/>
          <w:numId w:val="7"/>
        </w:numPr>
        <w:spacing w:after="0" w:afterAutospacing="0" w:before="0" w:beforeAutospacing="0" w:lineRule="auto"/>
        <w:ind w:left="720" w:hanging="360"/>
      </w:pPr>
      <w:r w:rsidDel="00000000" w:rsidR="00000000" w:rsidRPr="00000000">
        <w:rPr>
          <w:rtl w:val="0"/>
        </w:rPr>
        <w:t xml:space="preserve">Dispersión: Baja dispersión con mayor concentración entre 10 y 15 euros/m².</w:t>
      </w:r>
    </w:p>
    <w:p w:rsidR="00000000" w:rsidDel="00000000" w:rsidP="00000000" w:rsidRDefault="00000000" w:rsidRPr="00000000" w14:paraId="0000005B">
      <w:pPr>
        <w:numPr>
          <w:ilvl w:val="0"/>
          <w:numId w:val="7"/>
        </w:numPr>
        <w:spacing w:after="240" w:before="0" w:beforeAutospacing="0" w:lineRule="auto"/>
        <w:ind w:left="720" w:hanging="360"/>
      </w:pPr>
      <w:r w:rsidDel="00000000" w:rsidR="00000000" w:rsidRPr="00000000">
        <w:rPr>
          <w:rtl w:val="0"/>
        </w:rPr>
        <w:t xml:space="preserve">Frecuencia: Mayor frecuencia cerca de 12.5 euros/m², con algunos valores extremos.</w:t>
      </w:r>
    </w:p>
    <w:p w:rsidR="00000000" w:rsidDel="00000000" w:rsidP="00000000" w:rsidRDefault="00000000" w:rsidRPr="00000000" w14:paraId="0000005C">
      <w:pPr>
        <w:spacing w:after="240" w:before="240" w:lineRule="auto"/>
        <w:ind w:left="720" w:firstLine="0"/>
        <w:rPr/>
      </w:pPr>
      <w:r w:rsidDel="00000000" w:rsidR="00000000" w:rsidRPr="00000000">
        <w:rPr>
          <w:b w:val="1"/>
          <w:rtl w:val="0"/>
        </w:rPr>
        <w:t xml:space="preserve">Prueba de Kolmogorov-Smirnov</w:t>
      </w:r>
      <w:r w:rsidDel="00000000" w:rsidR="00000000" w:rsidRPr="00000000">
        <w:rPr>
          <w:rtl w:val="0"/>
        </w:rPr>
        <w:t xml:space="preserve">: Estadístico=0.020, p=0.323 Distribución probablemente normal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b w:val="1"/>
          <w:rtl w:val="0"/>
        </w:rPr>
        <w:t xml:space="preserve">Variables independientes: </w:t>
      </w:r>
      <w:r w:rsidDel="00000000" w:rsidR="00000000" w:rsidRPr="00000000">
        <w:rPr>
          <w:rtl w:val="0"/>
        </w:rPr>
        <w:t xml:space="preserve">Year, District, Neighbourhood</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pStyle w:val="Heading5"/>
        <w:numPr>
          <w:ilvl w:val="1"/>
          <w:numId w:val="5"/>
        </w:numPr>
        <w:ind w:left="1440" w:hanging="360"/>
        <w:rPr/>
      </w:pPr>
      <w:bookmarkStart w:colFirst="0" w:colLast="0" w:name="_wsx4ic9g05pf" w:id="17"/>
      <w:bookmarkEnd w:id="17"/>
      <w:r w:rsidDel="00000000" w:rsidR="00000000" w:rsidRPr="00000000">
        <w:rPr>
          <w:b w:val="1"/>
          <w:sz w:val="20"/>
          <w:szCs w:val="20"/>
          <w:rtl w:val="0"/>
        </w:rPr>
        <w:t xml:space="preserve">Tipo de Dato:</w:t>
      </w:r>
      <w:r w:rsidDel="00000000" w:rsidR="00000000" w:rsidRPr="00000000">
        <w:rPr>
          <w:rtl w:val="0"/>
        </w:rPr>
        <w:t xml:space="preserve"> </w:t>
      </w:r>
    </w:p>
    <w:p w:rsidR="00000000" w:rsidDel="00000000" w:rsidP="00000000" w:rsidRDefault="00000000" w:rsidRPr="00000000" w14:paraId="00000061">
      <w:pPr>
        <w:pStyle w:val="Heading5"/>
        <w:spacing w:line="240" w:lineRule="auto"/>
        <w:ind w:left="2160" w:firstLine="0"/>
        <w:rPr/>
      </w:pPr>
      <w:bookmarkStart w:colFirst="0" w:colLast="0" w:name="_1b26lduexfs9" w:id="18"/>
      <w:bookmarkEnd w:id="18"/>
      <w:r w:rsidDel="00000000" w:rsidR="00000000" w:rsidRPr="00000000">
        <w:rPr>
          <w:b w:val="1"/>
          <w:rtl w:val="0"/>
        </w:rPr>
        <w:t xml:space="preserve">Year</w:t>
      </w:r>
      <w:r w:rsidDel="00000000" w:rsidR="00000000" w:rsidRPr="00000000">
        <w:rPr>
          <w:rtl w:val="0"/>
        </w:rPr>
        <w:t xml:space="preserve">: Numérico (nm)</w:t>
      </w:r>
    </w:p>
    <w:p w:rsidR="00000000" w:rsidDel="00000000" w:rsidP="00000000" w:rsidRDefault="00000000" w:rsidRPr="00000000" w14:paraId="00000062">
      <w:pPr>
        <w:pStyle w:val="Heading5"/>
        <w:spacing w:line="240" w:lineRule="auto"/>
        <w:ind w:left="2160" w:firstLine="0"/>
        <w:rPr/>
      </w:pPr>
      <w:bookmarkStart w:colFirst="0" w:colLast="0" w:name="_1b26lduexfs9" w:id="18"/>
      <w:bookmarkEnd w:id="18"/>
      <w:r w:rsidDel="00000000" w:rsidR="00000000" w:rsidRPr="00000000">
        <w:rPr>
          <w:b w:val="1"/>
          <w:rtl w:val="0"/>
        </w:rPr>
        <w:t xml:space="preserve">District</w:t>
      </w:r>
      <w:r w:rsidDel="00000000" w:rsidR="00000000" w:rsidRPr="00000000">
        <w:rPr>
          <w:rtl w:val="0"/>
        </w:rPr>
        <w:t xml:space="preserve">: Categórico (i) (para clasificación)</w:t>
      </w:r>
    </w:p>
    <w:p w:rsidR="00000000" w:rsidDel="00000000" w:rsidP="00000000" w:rsidRDefault="00000000" w:rsidRPr="00000000" w14:paraId="00000063">
      <w:pPr>
        <w:pStyle w:val="Heading5"/>
        <w:spacing w:line="240" w:lineRule="auto"/>
        <w:ind w:left="2160" w:firstLine="0"/>
        <w:rPr/>
      </w:pPr>
      <w:bookmarkStart w:colFirst="0" w:colLast="0" w:name="_1b26lduexfs9" w:id="18"/>
      <w:bookmarkEnd w:id="18"/>
      <w:r w:rsidDel="00000000" w:rsidR="00000000" w:rsidRPr="00000000">
        <w:rPr>
          <w:b w:val="1"/>
          <w:rtl w:val="0"/>
        </w:rPr>
        <w:t xml:space="preserve">Neighbourhood</w:t>
      </w:r>
      <w:r w:rsidDel="00000000" w:rsidR="00000000" w:rsidRPr="00000000">
        <w:rPr>
          <w:rtl w:val="0"/>
        </w:rPr>
        <w:t xml:space="preserve">: Categórico (i) (para clasificación)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5"/>
        <w:numPr>
          <w:ilvl w:val="1"/>
          <w:numId w:val="5"/>
        </w:numPr>
        <w:ind w:left="1440" w:hanging="360"/>
        <w:rPr>
          <w:b w:val="1"/>
        </w:rPr>
      </w:pPr>
      <w:bookmarkStart w:colFirst="0" w:colLast="0" w:name="_k2x43mgrpfny" w:id="19"/>
      <w:bookmarkEnd w:id="19"/>
      <w:r w:rsidDel="00000000" w:rsidR="00000000" w:rsidRPr="00000000">
        <w:rPr>
          <w:b w:val="1"/>
          <w:rtl w:val="0"/>
        </w:rPr>
        <w:t xml:space="preserve">Estadística descriptiva: </w:t>
      </w:r>
    </w:p>
    <w:p w:rsidR="00000000" w:rsidDel="00000000" w:rsidP="00000000" w:rsidRDefault="00000000" w:rsidRPr="00000000" w14:paraId="0000006B">
      <w:pPr>
        <w:ind w:left="1440" w:firstLine="720"/>
        <w:rPr/>
      </w:pPr>
      <w:r w:rsidDel="00000000" w:rsidR="00000000" w:rsidRPr="00000000">
        <w:rPr>
          <w:rtl w:val="0"/>
        </w:rPr>
        <w:t xml:space="preserve">Por precio por mes:</w:t>
      </w:r>
    </w:p>
    <w:p w:rsidR="00000000" w:rsidDel="00000000" w:rsidP="00000000" w:rsidRDefault="00000000" w:rsidRPr="00000000" w14:paraId="0000006C">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1638300</wp:posOffset>
            </wp:positionH>
            <wp:positionV relativeFrom="paragraph">
              <wp:posOffset>205550</wp:posOffset>
            </wp:positionV>
            <wp:extent cx="2333625" cy="197167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33625" cy="1971675"/>
                    </a:xfrm>
                    <a:prstGeom prst="rect"/>
                    <a:ln/>
                  </pic:spPr>
                </pic:pic>
              </a:graphicData>
            </a:graphic>
          </wp:anchor>
        </w:drawing>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tab/>
      </w:r>
    </w:p>
    <w:p w:rsidR="00000000" w:rsidDel="00000000" w:rsidP="00000000" w:rsidRDefault="00000000" w:rsidRPr="00000000" w14:paraId="00000079">
      <w:pPr>
        <w:ind w:left="1440" w:firstLine="720"/>
        <w:rPr/>
      </w:pPr>
      <w:r w:rsidDel="00000000" w:rsidR="00000000" w:rsidRPr="00000000">
        <w:rPr>
          <w:rtl w:val="0"/>
        </w:rPr>
        <w:t xml:space="preserve">Por precio por m²: </w:t>
      </w:r>
    </w:p>
    <w:p w:rsidR="00000000" w:rsidDel="00000000" w:rsidP="00000000" w:rsidRDefault="00000000" w:rsidRPr="00000000" w14:paraId="0000007A">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1285875</wp:posOffset>
            </wp:positionH>
            <wp:positionV relativeFrom="paragraph">
              <wp:posOffset>148637</wp:posOffset>
            </wp:positionV>
            <wp:extent cx="3174276" cy="2271249"/>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74276" cy="2271249"/>
                    </a:xfrm>
                    <a:prstGeom prst="rect"/>
                    <a:ln/>
                  </pic:spPr>
                </pic:pic>
              </a:graphicData>
            </a:graphic>
          </wp:anchor>
        </w:drawing>
      </w:r>
    </w:p>
    <w:p w:rsidR="00000000" w:rsidDel="00000000" w:rsidP="00000000" w:rsidRDefault="00000000" w:rsidRPr="00000000" w14:paraId="0000007B">
      <w:pPr>
        <w:spacing w:after="240" w:before="240" w:lineRule="auto"/>
        <w:jc w:val="both"/>
        <w:rPr>
          <w:b w:val="1"/>
        </w:rPr>
      </w:pPr>
      <w:r w:rsidDel="00000000" w:rsidR="00000000" w:rsidRPr="00000000">
        <w:rPr>
          <w:rtl w:val="0"/>
        </w:rPr>
      </w:r>
    </w:p>
    <w:p w:rsidR="00000000" w:rsidDel="00000000" w:rsidP="00000000" w:rsidRDefault="00000000" w:rsidRPr="00000000" w14:paraId="0000007C">
      <w:pPr>
        <w:spacing w:after="240" w:before="240" w:lineRule="auto"/>
        <w:jc w:val="both"/>
        <w:rPr>
          <w:b w:val="1"/>
        </w:rPr>
      </w:pPr>
      <w:r w:rsidDel="00000000" w:rsidR="00000000" w:rsidRPr="00000000">
        <w:rPr>
          <w:rtl w:val="0"/>
        </w:rPr>
      </w:r>
    </w:p>
    <w:p w:rsidR="00000000" w:rsidDel="00000000" w:rsidP="00000000" w:rsidRDefault="00000000" w:rsidRPr="00000000" w14:paraId="0000007D">
      <w:pPr>
        <w:spacing w:after="240" w:before="240" w:lineRule="auto"/>
        <w:jc w:val="both"/>
        <w:rPr>
          <w:b w:val="1"/>
        </w:rPr>
      </w:pPr>
      <w:r w:rsidDel="00000000" w:rsidR="00000000" w:rsidRPr="00000000">
        <w:rPr>
          <w:rtl w:val="0"/>
        </w:rPr>
      </w:r>
    </w:p>
    <w:p w:rsidR="00000000" w:rsidDel="00000000" w:rsidP="00000000" w:rsidRDefault="00000000" w:rsidRPr="00000000" w14:paraId="0000007E">
      <w:pPr>
        <w:spacing w:after="240" w:before="240" w:lineRule="auto"/>
        <w:jc w:val="both"/>
        <w:rPr>
          <w:b w:val="1"/>
        </w:rPr>
      </w:pPr>
      <w:r w:rsidDel="00000000" w:rsidR="00000000" w:rsidRPr="00000000">
        <w:rPr>
          <w:rtl w:val="0"/>
        </w:rPr>
      </w:r>
    </w:p>
    <w:p w:rsidR="00000000" w:rsidDel="00000000" w:rsidP="00000000" w:rsidRDefault="00000000" w:rsidRPr="00000000" w14:paraId="0000007F">
      <w:pPr>
        <w:spacing w:after="240" w:before="240" w:lineRule="auto"/>
        <w:jc w:val="both"/>
        <w:rPr>
          <w:b w:val="1"/>
        </w:rPr>
      </w:pPr>
      <w:r w:rsidDel="00000000" w:rsidR="00000000" w:rsidRPr="00000000">
        <w:rPr>
          <w:rtl w:val="0"/>
        </w:rPr>
      </w:r>
    </w:p>
    <w:p w:rsidR="00000000" w:rsidDel="00000000" w:rsidP="00000000" w:rsidRDefault="00000000" w:rsidRPr="00000000" w14:paraId="00000080">
      <w:pPr>
        <w:spacing w:after="240" w:before="240" w:lineRule="auto"/>
        <w:jc w:val="both"/>
        <w:rPr>
          <w:b w:val="1"/>
        </w:rPr>
      </w:pPr>
      <w:r w:rsidDel="00000000" w:rsidR="00000000" w:rsidRPr="00000000">
        <w:rPr>
          <w:rtl w:val="0"/>
        </w:rPr>
      </w:r>
    </w:p>
    <w:p w:rsidR="00000000" w:rsidDel="00000000" w:rsidP="00000000" w:rsidRDefault="00000000" w:rsidRPr="00000000" w14:paraId="00000081">
      <w:pPr>
        <w:spacing w:after="240" w:before="240" w:lineRule="auto"/>
        <w:jc w:val="both"/>
        <w:rPr>
          <w:b w:val="1"/>
        </w:rPr>
      </w:pPr>
      <w:r w:rsidDel="00000000" w:rsidR="00000000" w:rsidRPr="00000000">
        <w:rPr>
          <w:rtl w:val="0"/>
        </w:rPr>
      </w:r>
    </w:p>
    <w:p w:rsidR="00000000" w:rsidDel="00000000" w:rsidP="00000000" w:rsidRDefault="00000000" w:rsidRPr="00000000" w14:paraId="00000082">
      <w:pPr>
        <w:spacing w:after="240" w:before="240" w:lineRule="auto"/>
        <w:jc w:val="both"/>
        <w:rPr>
          <w:b w:val="1"/>
        </w:rPr>
      </w:pPr>
      <w:r w:rsidDel="00000000" w:rsidR="00000000" w:rsidRPr="00000000">
        <w:rPr>
          <w:rtl w:val="0"/>
        </w:rPr>
      </w:r>
    </w:p>
    <w:p w:rsidR="00000000" w:rsidDel="00000000" w:rsidP="00000000" w:rsidRDefault="00000000" w:rsidRPr="00000000" w14:paraId="00000083">
      <w:pPr>
        <w:spacing w:after="240" w:before="240" w:lineRule="auto"/>
        <w:jc w:val="both"/>
        <w:rPr/>
      </w:pPr>
      <w:r w:rsidDel="00000000" w:rsidR="00000000" w:rsidRPr="00000000">
        <w:rPr>
          <w:b w:val="1"/>
          <w:rtl w:val="0"/>
        </w:rPr>
        <w:t xml:space="preserve">Medias y Medianas: </w:t>
      </w:r>
      <w:r w:rsidDel="00000000" w:rsidR="00000000" w:rsidRPr="00000000">
        <w:rPr>
          <w:rtl w:val="0"/>
        </w:rPr>
        <w:t xml:space="preserve">Los distritos con precios más altos son Ciutat Vella y Sarrià-Sant Gervasi, con medias de 14.36 €/m² y 14.65 €/m² respectivamente. Nou Barris tiene el precio medio más bajo, con 9.98 €/m².</w:t>
      </w:r>
    </w:p>
    <w:p w:rsidR="00000000" w:rsidDel="00000000" w:rsidP="00000000" w:rsidRDefault="00000000" w:rsidRPr="00000000" w14:paraId="00000084">
      <w:pPr>
        <w:spacing w:after="240" w:before="240" w:lineRule="auto"/>
        <w:jc w:val="both"/>
        <w:rPr/>
      </w:pPr>
      <w:r w:rsidDel="00000000" w:rsidR="00000000" w:rsidRPr="00000000">
        <w:rPr>
          <w:b w:val="1"/>
          <w:rtl w:val="0"/>
        </w:rPr>
        <w:t xml:space="preserve">Desviación Estándar: </w:t>
      </w:r>
      <w:r w:rsidDel="00000000" w:rsidR="00000000" w:rsidRPr="00000000">
        <w:rPr>
          <w:rtl w:val="0"/>
        </w:rPr>
        <w:t xml:space="preserve">La mayor variabilidad en los precios se observa en Sant Martí (2.53), Ciutat Vella (2.31) y Sarrià-Sant Gervasi (2.14), lo que indica que en estos distritos hay una amplia gama de precios por metro cuadrado. Los distritos con menor variabilidad son Eixample (1.45) y Horta-Guinardó (1.58).</w:t>
      </w:r>
    </w:p>
    <w:p w:rsidR="00000000" w:rsidDel="00000000" w:rsidP="00000000" w:rsidRDefault="00000000" w:rsidRPr="00000000" w14:paraId="00000085">
      <w:pPr>
        <w:spacing w:after="240" w:before="240" w:lineRule="auto"/>
        <w:jc w:val="both"/>
        <w:rPr/>
      </w:pPr>
      <w:r w:rsidDel="00000000" w:rsidR="00000000" w:rsidRPr="00000000">
        <w:rPr>
          <w:b w:val="1"/>
          <w:rtl w:val="0"/>
        </w:rPr>
        <w:t xml:space="preserve">Rango de Precios (Máximos y Mínimos): </w:t>
      </w:r>
      <w:r w:rsidDel="00000000" w:rsidR="00000000" w:rsidRPr="00000000">
        <w:rPr>
          <w:rtl w:val="0"/>
        </w:rPr>
        <w:t xml:space="preserve">El rango más amplio lo tiene Ciutat Vella, con un mínimo de 9.84 €/m² y un máximo de 21.30 €/m². Sarrià-Sant Gervasi también muestra un rango amplio, con un mínimo de 6.25 €/m² y un máximo de 20.61 €/m².</w:t>
      </w:r>
    </w:p>
    <w:p w:rsidR="00000000" w:rsidDel="00000000" w:rsidP="00000000" w:rsidRDefault="00000000" w:rsidRPr="00000000" w14:paraId="00000086">
      <w:pPr>
        <w:pStyle w:val="Heading3"/>
        <w:numPr>
          <w:ilvl w:val="0"/>
          <w:numId w:val="2"/>
        </w:numPr>
        <w:ind w:left="720" w:hanging="360"/>
        <w:rPr>
          <w:u w:val="none"/>
        </w:rPr>
      </w:pPr>
      <w:bookmarkStart w:colFirst="0" w:colLast="0" w:name="_x4owfgy4pwxh" w:id="20"/>
      <w:bookmarkEnd w:id="20"/>
      <w:r w:rsidDel="00000000" w:rsidR="00000000" w:rsidRPr="00000000">
        <w:rPr>
          <w:rtl w:val="0"/>
        </w:rPr>
        <w:t xml:space="preserve">Calidad de los datos</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pStyle w:val="Heading4"/>
        <w:numPr>
          <w:ilvl w:val="0"/>
          <w:numId w:val="13"/>
        </w:numPr>
        <w:ind w:left="720" w:hanging="360"/>
        <w:rPr/>
      </w:pPr>
      <w:bookmarkStart w:colFirst="0" w:colLast="0" w:name="_rd5xwnfhmy7r" w:id="21"/>
      <w:bookmarkEnd w:id="21"/>
      <w:r w:rsidDel="00000000" w:rsidR="00000000" w:rsidRPr="00000000">
        <w:rPr>
          <w:rtl w:val="0"/>
        </w:rPr>
        <w:t xml:space="preserve">Presencia de outliers: </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El procesamiento de outliers se realizó dos veces debido a la necesidad de ajustar el modelo.</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pStyle w:val="Heading4"/>
        <w:keepNext w:val="0"/>
        <w:keepLines w:val="0"/>
        <w:ind w:firstLine="720"/>
        <w:jc w:val="left"/>
        <w:rPr/>
      </w:pPr>
      <w:bookmarkStart w:colFirst="0" w:colLast="0" w:name="_t0ophi3ue19w" w:id="22"/>
      <w:bookmarkEnd w:id="22"/>
      <w:r w:rsidDel="00000000" w:rsidR="00000000" w:rsidRPr="00000000">
        <w:rPr>
          <w:rtl w:val="0"/>
        </w:rPr>
        <w:t xml:space="preserve">Primer Intento: </w:t>
      </w:r>
    </w:p>
    <w:p w:rsidR="00000000" w:rsidDel="00000000" w:rsidP="00000000" w:rsidRDefault="00000000" w:rsidRPr="00000000" w14:paraId="0000008D">
      <w:pPr>
        <w:pStyle w:val="Heading4"/>
        <w:keepNext w:val="0"/>
        <w:keepLines w:val="0"/>
        <w:ind w:firstLine="720"/>
        <w:jc w:val="left"/>
        <w:rPr/>
      </w:pPr>
      <w:bookmarkStart w:colFirst="0" w:colLast="0" w:name="_sl76jtjg32wo" w:id="23"/>
      <w:bookmarkEnd w:id="23"/>
      <w:r w:rsidDel="00000000" w:rsidR="00000000" w:rsidRPr="00000000">
        <w:rPr>
          <w:rtl w:val="0"/>
        </w:rPr>
        <w:t xml:space="preserve">Identificación de Outliers</w:t>
      </w:r>
    </w:p>
    <w:p w:rsidR="00000000" w:rsidDel="00000000" w:rsidP="00000000" w:rsidRDefault="00000000" w:rsidRPr="00000000" w14:paraId="0000008E">
      <w:pPr>
        <w:spacing w:after="240" w:before="240" w:lineRule="auto"/>
        <w:ind w:left="720" w:firstLine="0"/>
        <w:rPr/>
      </w:pPr>
      <w:r w:rsidDel="00000000" w:rsidR="00000000" w:rsidRPr="00000000">
        <w:rPr>
          <w:rtl w:val="0"/>
        </w:rPr>
        <w:t xml:space="preserve">Utilizamos el cálculo del rango intercuartílico (IQR) para identificar los valores atípicos.</w:t>
      </w:r>
    </w:p>
    <w:p w:rsidR="00000000" w:rsidDel="00000000" w:rsidP="00000000" w:rsidRDefault="00000000" w:rsidRPr="00000000" w14:paraId="0000008F">
      <w:pPr>
        <w:spacing w:after="240" w:before="240" w:lineRule="auto"/>
        <w:ind w:left="720" w:firstLine="0"/>
        <w:rPr/>
      </w:pPr>
      <w:r w:rsidDel="00000000" w:rsidR="00000000" w:rsidRPr="00000000">
        <w:rPr>
          <w:rtl w:val="0"/>
        </w:rPr>
        <w:t xml:space="preserve">Encontramos la presencia de 20 outliers en nuestros datos, representados mediante diagramas de cajas y bigotes, como se muestra a continuación.</w:t>
      </w:r>
    </w:p>
    <w:p w:rsidR="00000000" w:rsidDel="00000000" w:rsidP="00000000" w:rsidRDefault="00000000" w:rsidRPr="00000000" w14:paraId="00000090">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647700</wp:posOffset>
            </wp:positionH>
            <wp:positionV relativeFrom="paragraph">
              <wp:posOffset>219075</wp:posOffset>
            </wp:positionV>
            <wp:extent cx="4510088" cy="3051299"/>
            <wp:effectExtent b="0" l="0" r="0" t="0"/>
            <wp:wrapSquare wrapText="bothSides" distB="114300" distT="114300" distL="114300" distR="11430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510088" cy="3051299"/>
                    </a:xfrm>
                    <a:prstGeom prst="rect"/>
                    <a:ln/>
                  </pic:spPr>
                </pic:pic>
              </a:graphicData>
            </a:graphic>
          </wp:anchor>
        </w:drawing>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pStyle w:val="Heading5"/>
        <w:ind w:left="0" w:firstLine="0"/>
        <w:rPr/>
      </w:pPr>
      <w:bookmarkStart w:colFirst="0" w:colLast="0" w:name="_pplxhtp03oup" w:id="24"/>
      <w:bookmarkEnd w:id="24"/>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5"/>
        <w:numPr>
          <w:ilvl w:val="1"/>
          <w:numId w:val="13"/>
        </w:numPr>
        <w:rPr>
          <w:color w:val="000000"/>
        </w:rPr>
      </w:pPr>
      <w:bookmarkStart w:colFirst="0" w:colLast="0" w:name="_4kmfljfp6j10" w:id="25"/>
      <w:bookmarkEnd w:id="25"/>
      <w:r w:rsidDel="00000000" w:rsidR="00000000" w:rsidRPr="00000000">
        <w:rPr>
          <w:b w:val="1"/>
          <w:rtl w:val="0"/>
        </w:rPr>
        <w:t xml:space="preserve">Corrección o imputación de outliers: </w:t>
      </w:r>
      <w:r w:rsidDel="00000000" w:rsidR="00000000" w:rsidRPr="00000000">
        <w:rPr>
          <w:rtl w:val="0"/>
        </w:rPr>
        <w:t xml:space="preserve"> Inicialmente reemplazamos los outliers con la mediana y obtuvimos este resultado:</w:t>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pStyle w:val="Heading4"/>
        <w:ind w:left="0" w:firstLine="0"/>
        <w:rPr/>
      </w:pPr>
      <w:bookmarkStart w:colFirst="0" w:colLast="0" w:name="_awtigjk3o89c" w:id="26"/>
      <w:bookmarkEnd w:id="2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200025</wp:posOffset>
            </wp:positionV>
            <wp:extent cx="3300413" cy="2568018"/>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300413" cy="25680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114300</wp:posOffset>
            </wp:positionV>
            <wp:extent cx="3433763" cy="2739505"/>
            <wp:effectExtent b="0" l="0" r="0" t="0"/>
            <wp:wrapSquare wrapText="bothSides" distB="114300" distT="114300" distL="114300" distR="114300"/>
            <wp:docPr id="1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433763" cy="2739505"/>
                    </a:xfrm>
                    <a:prstGeom prst="rect"/>
                    <a:ln/>
                  </pic:spPr>
                </pic:pic>
              </a:graphicData>
            </a:graphic>
          </wp:anchor>
        </w:drawing>
      </w:r>
    </w:p>
    <w:p w:rsidR="00000000" w:rsidDel="00000000" w:rsidP="00000000" w:rsidRDefault="00000000" w:rsidRPr="00000000" w14:paraId="000000A6">
      <w:pPr>
        <w:spacing w:after="240" w:before="240" w:lineRule="auto"/>
        <w:rPr/>
      </w:pPr>
      <w:r w:rsidDel="00000000" w:rsidR="00000000" w:rsidRPr="00000000">
        <w:rPr>
          <w:b w:val="1"/>
          <w:rtl w:val="0"/>
        </w:rPr>
        <w:t xml:space="preserve">Después del Tratamiento de Outliers</w:t>
      </w:r>
      <w:r w:rsidDel="00000000" w:rsidR="00000000" w:rsidRPr="00000000">
        <w:rPr>
          <w:rtl w:val="0"/>
        </w:rPr>
        <w:t xml:space="preserve">:</w:t>
      </w:r>
    </w:p>
    <w:p w:rsidR="00000000" w:rsidDel="00000000" w:rsidP="00000000" w:rsidRDefault="00000000" w:rsidRPr="00000000" w14:paraId="000000A7">
      <w:pPr>
        <w:numPr>
          <w:ilvl w:val="0"/>
          <w:numId w:val="3"/>
        </w:numPr>
        <w:spacing w:after="0" w:afterAutospacing="0" w:before="240" w:lineRule="auto"/>
        <w:ind w:left="720" w:hanging="360"/>
      </w:pPr>
      <w:r w:rsidDel="00000000" w:rsidR="00000000" w:rsidRPr="00000000">
        <w:rPr>
          <w:b w:val="1"/>
          <w:rtl w:val="0"/>
        </w:rPr>
        <w:t xml:space="preserve">Distribución</w:t>
      </w:r>
      <w:r w:rsidDel="00000000" w:rsidR="00000000" w:rsidRPr="00000000">
        <w:rPr>
          <w:rtl w:val="0"/>
        </w:rPr>
        <w:t xml:space="preserve">: La distribución después del tratamiento es más compacta, con precios que oscilan entre 6 y 18 euros/m².</w:t>
      </w:r>
    </w:p>
    <w:p w:rsidR="00000000" w:rsidDel="00000000" w:rsidP="00000000" w:rsidRDefault="00000000" w:rsidRPr="00000000" w14:paraId="000000A8">
      <w:pPr>
        <w:numPr>
          <w:ilvl w:val="0"/>
          <w:numId w:val="3"/>
        </w:numPr>
        <w:spacing w:after="0" w:afterAutospacing="0" w:before="0" w:beforeAutospacing="0" w:lineRule="auto"/>
        <w:ind w:left="720" w:hanging="360"/>
      </w:pPr>
      <w:r w:rsidDel="00000000" w:rsidR="00000000" w:rsidRPr="00000000">
        <w:rPr>
          <w:b w:val="1"/>
          <w:rtl w:val="0"/>
        </w:rPr>
        <w:t xml:space="preserve">Frecuencia Alta</w:t>
      </w:r>
      <w:r w:rsidDel="00000000" w:rsidR="00000000" w:rsidRPr="00000000">
        <w:rPr>
          <w:rtl w:val="0"/>
        </w:rPr>
        <w:t xml:space="preserve">: El pico de frecuencia se mantiene alrededor de 12 euros/m², pero la distribución ahora es más ajustada y con colas menos pronunciadas.</w:t>
      </w:r>
    </w:p>
    <w:p w:rsidR="00000000" w:rsidDel="00000000" w:rsidP="00000000" w:rsidRDefault="00000000" w:rsidRPr="00000000" w14:paraId="000000A9">
      <w:pPr>
        <w:numPr>
          <w:ilvl w:val="0"/>
          <w:numId w:val="3"/>
        </w:numPr>
        <w:spacing w:after="240" w:before="0" w:beforeAutospacing="0" w:lineRule="auto"/>
        <w:ind w:left="720" w:hanging="360"/>
      </w:pPr>
      <w:r w:rsidDel="00000000" w:rsidR="00000000" w:rsidRPr="00000000">
        <w:rPr>
          <w:b w:val="1"/>
          <w:rtl w:val="0"/>
        </w:rPr>
        <w:t xml:space="preserve">Reducción de Outliers</w:t>
      </w:r>
      <w:r w:rsidDel="00000000" w:rsidR="00000000" w:rsidRPr="00000000">
        <w:rPr>
          <w:rtl w:val="0"/>
        </w:rPr>
        <w:t xml:space="preserve">: La eliminación de outliers ha resultado en una distribución más normalizada y menos sesgada por valores extremos.</w:t>
      </w:r>
    </w:p>
    <w:p w:rsidR="00000000" w:rsidDel="00000000" w:rsidP="00000000" w:rsidRDefault="00000000" w:rsidRPr="00000000" w14:paraId="000000AA">
      <w:pPr>
        <w:pStyle w:val="Heading4"/>
        <w:keepNext w:val="0"/>
        <w:keepLines w:val="0"/>
        <w:ind w:left="0" w:firstLine="0"/>
        <w:jc w:val="left"/>
        <w:rPr/>
      </w:pPr>
      <w:bookmarkStart w:colFirst="0" w:colLast="0" w:name="_getc5uvyo2af" w:id="27"/>
      <w:bookmarkEnd w:id="27"/>
      <w:r w:rsidDel="00000000" w:rsidR="00000000" w:rsidRPr="00000000">
        <w:rPr>
          <w:rtl w:val="0"/>
        </w:rPr>
        <w:t xml:space="preserve">Conclusiones del procesamiento de outliers: </w:t>
      </w:r>
    </w:p>
    <w:p w:rsidR="00000000" w:rsidDel="00000000" w:rsidP="00000000" w:rsidRDefault="00000000" w:rsidRPr="00000000" w14:paraId="000000AB">
      <w:pPr>
        <w:numPr>
          <w:ilvl w:val="0"/>
          <w:numId w:val="6"/>
        </w:numPr>
        <w:spacing w:after="0" w:afterAutospacing="0" w:before="240" w:lineRule="auto"/>
        <w:ind w:left="720" w:hanging="360"/>
      </w:pPr>
      <w:r w:rsidDel="00000000" w:rsidR="00000000" w:rsidRPr="00000000">
        <w:rPr>
          <w:b w:val="1"/>
          <w:rtl w:val="0"/>
        </w:rPr>
        <w:t xml:space="preserve">Reducción de Variabilidad</w:t>
      </w:r>
      <w:r w:rsidDel="00000000" w:rsidR="00000000" w:rsidRPr="00000000">
        <w:rPr>
          <w:rtl w:val="0"/>
        </w:rPr>
        <w:t xml:space="preserve">: Al sustituir los outliers por la media, se ha conseguido una distribución de precios más uniforme,  eliminando valores extremos que podrían influir negativamente en análisis posteriores.</w:t>
      </w:r>
    </w:p>
    <w:p w:rsidR="00000000" w:rsidDel="00000000" w:rsidP="00000000" w:rsidRDefault="00000000" w:rsidRPr="00000000" w14:paraId="000000AC">
      <w:pPr>
        <w:numPr>
          <w:ilvl w:val="0"/>
          <w:numId w:val="6"/>
        </w:numPr>
        <w:spacing w:after="240" w:before="0" w:beforeAutospacing="0" w:lineRule="auto"/>
        <w:ind w:left="720" w:hanging="360"/>
      </w:pPr>
      <w:r w:rsidDel="00000000" w:rsidR="00000000" w:rsidRPr="00000000">
        <w:rPr>
          <w:b w:val="1"/>
          <w:rtl w:val="0"/>
        </w:rPr>
        <w:t xml:space="preserve">Normalización de la Distribución</w:t>
      </w:r>
      <w:r w:rsidDel="00000000" w:rsidR="00000000" w:rsidRPr="00000000">
        <w:rPr>
          <w:rtl w:val="0"/>
        </w:rPr>
        <w:t xml:space="preserve">: La distribución de precios se ha vuelto más simétrica y ajustada alrededor del valor medio, lo que facilita un análisis más preciso y menos sesgado.</w:t>
      </w:r>
    </w:p>
    <w:p w:rsidR="00000000" w:rsidDel="00000000" w:rsidP="00000000" w:rsidRDefault="00000000" w:rsidRPr="00000000" w14:paraId="000000AD">
      <w:pPr>
        <w:spacing w:after="240" w:before="240" w:lineRule="auto"/>
        <w:rPr/>
      </w:pPr>
      <w:r w:rsidDel="00000000" w:rsidR="00000000" w:rsidRPr="00000000">
        <w:rPr>
          <w:rtl w:val="0"/>
        </w:rPr>
        <w:t xml:space="preserve">En resumen, el tratamiento de outliers ha mejorado la calidad de los datos, ofreciendo una distribución más representativa del mercado de alquiler de pisos en Barcelona, lo que permitirá realizar análisis y predicciones más fiables.</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pStyle w:val="Heading4"/>
        <w:keepNext w:val="0"/>
        <w:keepLines w:val="0"/>
        <w:ind w:left="0" w:firstLine="0"/>
        <w:jc w:val="left"/>
        <w:rPr/>
      </w:pPr>
      <w:bookmarkStart w:colFirst="0" w:colLast="0" w:name="_b0hw0422tbp3" w:id="28"/>
      <w:bookmarkEnd w:id="28"/>
      <w:r w:rsidDel="00000000" w:rsidR="00000000" w:rsidRPr="00000000">
        <w:rPr>
          <w:rtl w:val="0"/>
        </w:rPr>
        <w:t xml:space="preserve">Segundo Intento: Corrección de Outliers con K-means</w:t>
      </w:r>
    </w:p>
    <w:p w:rsidR="00000000" w:rsidDel="00000000" w:rsidP="00000000" w:rsidRDefault="00000000" w:rsidRPr="00000000" w14:paraId="000000B2">
      <w:pPr>
        <w:spacing w:after="240" w:before="240" w:lineRule="auto"/>
        <w:ind w:left="0" w:firstLine="0"/>
        <w:rPr/>
      </w:pPr>
      <w:r w:rsidDel="00000000" w:rsidR="00000000" w:rsidRPr="00000000">
        <w:rPr>
          <w:rtl w:val="0"/>
        </w:rPr>
        <w:t xml:space="preserve">Debido a que el modelo inicial no funcionó adecuadamente, realizamos una segunda corrección de outliers utilizando el algoritmo K-means.</w:t>
      </w:r>
    </w:p>
    <w:p w:rsidR="00000000" w:rsidDel="00000000" w:rsidP="00000000" w:rsidRDefault="00000000" w:rsidRPr="00000000" w14:paraId="000000B3">
      <w:pPr>
        <w:spacing w:after="240" w:before="240" w:lineRule="auto"/>
        <w:ind w:left="0" w:firstLine="0"/>
        <w:rPr/>
      </w:pPr>
      <w:r w:rsidDel="00000000" w:rsidR="00000000" w:rsidRPr="00000000">
        <w:rPr>
          <w:rtl w:val="0"/>
        </w:rPr>
        <w:t xml:space="preserve">Calculamos el tamaño de los clusters y confirmamos que el número adecuado de clusters es 4.</w:t>
      </w:r>
    </w:p>
    <w:p w:rsidR="00000000" w:rsidDel="00000000" w:rsidP="00000000" w:rsidRDefault="00000000" w:rsidRPr="00000000" w14:paraId="000000B4">
      <w:pPr>
        <w:numPr>
          <w:ilvl w:val="0"/>
          <w:numId w:val="8"/>
        </w:numPr>
        <w:spacing w:after="0" w:afterAutospacing="0" w:before="240" w:lineRule="auto"/>
        <w:ind w:left="720" w:hanging="360"/>
      </w:pPr>
      <w:r w:rsidDel="00000000" w:rsidR="00000000" w:rsidRPr="00000000">
        <w:rPr>
          <w:b w:val="1"/>
          <w:rtl w:val="0"/>
        </w:rPr>
        <w:t xml:space="preserve">Resultados de la Detección</w:t>
      </w:r>
      <w:r w:rsidDel="00000000" w:rsidR="00000000" w:rsidRPr="00000000">
        <w:rPr>
          <w:rtl w:val="0"/>
        </w:rPr>
        <w:t xml:space="preserve">:</w:t>
      </w:r>
    </w:p>
    <w:p w:rsidR="00000000" w:rsidDel="00000000" w:rsidP="00000000" w:rsidRDefault="00000000" w:rsidRPr="00000000" w14:paraId="000000B5">
      <w:pPr>
        <w:numPr>
          <w:ilvl w:val="1"/>
          <w:numId w:val="8"/>
        </w:numPr>
        <w:spacing w:after="0" w:afterAutospacing="0" w:before="0" w:beforeAutospacing="0" w:lineRule="auto"/>
        <w:ind w:left="1440" w:hanging="360"/>
      </w:pPr>
      <w:r w:rsidDel="00000000" w:rsidR="00000000" w:rsidRPr="00000000">
        <w:rPr>
          <w:b w:val="1"/>
          <w:rtl w:val="0"/>
        </w:rPr>
        <w:t xml:space="preserve">Número de outliers</w:t>
      </w:r>
      <w:r w:rsidDel="00000000" w:rsidR="00000000" w:rsidRPr="00000000">
        <w:rPr>
          <w:rtl w:val="0"/>
        </w:rPr>
        <w:t xml:space="preserve">: 116</w:t>
      </w:r>
    </w:p>
    <w:p w:rsidR="00000000" w:rsidDel="00000000" w:rsidP="00000000" w:rsidRDefault="00000000" w:rsidRPr="00000000" w14:paraId="000000B6">
      <w:pPr>
        <w:numPr>
          <w:ilvl w:val="1"/>
          <w:numId w:val="8"/>
        </w:numPr>
        <w:spacing w:after="0" w:afterAutospacing="0" w:before="0" w:beforeAutospacing="0" w:lineRule="auto"/>
        <w:ind w:left="1440" w:hanging="360"/>
      </w:pPr>
      <w:r w:rsidDel="00000000" w:rsidR="00000000" w:rsidRPr="00000000">
        <w:rPr>
          <w:b w:val="1"/>
          <w:rtl w:val="0"/>
        </w:rPr>
        <w:t xml:space="preserve">Número total de registros</w:t>
      </w:r>
      <w:r w:rsidDel="00000000" w:rsidR="00000000" w:rsidRPr="00000000">
        <w:rPr>
          <w:rtl w:val="0"/>
        </w:rPr>
        <w:t xml:space="preserve">: 2311</w:t>
      </w:r>
    </w:p>
    <w:p w:rsidR="00000000" w:rsidDel="00000000" w:rsidP="00000000" w:rsidRDefault="00000000" w:rsidRPr="00000000" w14:paraId="000000B7">
      <w:pPr>
        <w:numPr>
          <w:ilvl w:val="1"/>
          <w:numId w:val="8"/>
        </w:numPr>
        <w:spacing w:after="240" w:before="0" w:beforeAutospacing="0" w:lineRule="auto"/>
        <w:ind w:left="1440" w:hanging="360"/>
      </w:pPr>
      <w:r w:rsidDel="00000000" w:rsidR="00000000" w:rsidRPr="00000000">
        <w:rPr>
          <w:b w:val="1"/>
          <w:rtl w:val="0"/>
        </w:rPr>
        <w:t xml:space="preserve">Porcentaje de outliers</w:t>
      </w:r>
      <w:r w:rsidDel="00000000" w:rsidR="00000000" w:rsidRPr="00000000">
        <w:rPr>
          <w:rtl w:val="0"/>
        </w:rPr>
        <w:t xml:space="preserve">: 5.02%</w:t>
      </w:r>
    </w:p>
    <w:p w:rsidR="00000000" w:rsidDel="00000000" w:rsidP="00000000" w:rsidRDefault="00000000" w:rsidRPr="00000000" w14:paraId="000000B8">
      <w:pPr>
        <w:spacing w:after="240" w:before="240" w:lineRule="auto"/>
        <w:rPr/>
      </w:pPr>
      <w:r w:rsidDel="00000000" w:rsidR="00000000" w:rsidRPr="00000000">
        <w:rPr>
          <w:rtl w:val="0"/>
        </w:rPr>
        <w:t xml:space="preserve">Los gráficos a continuación muestran la distribución de precios después de la eliminación de outliers:</w:t>
      </w:r>
    </w:p>
    <w:p w:rsidR="00000000" w:rsidDel="00000000" w:rsidP="00000000" w:rsidRDefault="00000000" w:rsidRPr="00000000" w14:paraId="000000B9">
      <w:pPr>
        <w:numPr>
          <w:ilvl w:val="0"/>
          <w:numId w:val="16"/>
        </w:numPr>
        <w:spacing w:after="240" w:before="240" w:lineRule="auto"/>
        <w:ind w:left="1440" w:hanging="360"/>
      </w:pPr>
      <w:r w:rsidDel="00000000" w:rsidR="00000000" w:rsidRPr="00000000">
        <w:rPr>
          <w:rtl w:val="0"/>
        </w:rPr>
        <w:t xml:space="preserve">El diagrama de cajas y bigotes indica una distribución más compacta y sin valores extremos.</w:t>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523875</wp:posOffset>
            </wp:positionV>
            <wp:extent cx="4728396" cy="3478099"/>
            <wp:effectExtent b="0" l="0" r="0" t="0"/>
            <wp:wrapSquare wrapText="bothSides" distB="114300" distT="114300" distL="114300" distR="11430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728396" cy="3478099"/>
                    </a:xfrm>
                    <a:prstGeom prst="rect"/>
                    <a:ln/>
                  </pic:spPr>
                </pic:pic>
              </a:graphicData>
            </a:graphic>
          </wp:anchor>
        </w:drawing>
      </w:r>
    </w:p>
    <w:p w:rsidR="00000000" w:rsidDel="00000000" w:rsidP="00000000" w:rsidRDefault="00000000" w:rsidRPr="00000000" w14:paraId="000000BA">
      <w:pPr>
        <w:spacing w:after="240" w:before="240" w:lineRule="auto"/>
        <w:ind w:left="720" w:firstLine="0"/>
        <w:rPr/>
      </w:pPr>
      <w:r w:rsidDel="00000000" w:rsidR="00000000" w:rsidRPr="00000000">
        <w:rPr>
          <w:rtl w:val="0"/>
        </w:rPr>
      </w:r>
    </w:p>
    <w:p w:rsidR="00000000" w:rsidDel="00000000" w:rsidP="00000000" w:rsidRDefault="00000000" w:rsidRPr="00000000" w14:paraId="000000BB">
      <w:pPr>
        <w:spacing w:after="240" w:before="240" w:lineRule="auto"/>
        <w:ind w:left="720" w:firstLine="0"/>
        <w:rPr/>
      </w:pPr>
      <w:r w:rsidDel="00000000" w:rsidR="00000000" w:rsidRPr="00000000">
        <w:rPr>
          <w:rtl w:val="0"/>
        </w:rPr>
      </w:r>
    </w:p>
    <w:p w:rsidR="00000000" w:rsidDel="00000000" w:rsidP="00000000" w:rsidRDefault="00000000" w:rsidRPr="00000000" w14:paraId="000000BC">
      <w:pPr>
        <w:spacing w:after="240" w:before="240" w:lineRule="auto"/>
        <w:ind w:left="720" w:firstLine="0"/>
        <w:rPr/>
      </w:pPr>
      <w:r w:rsidDel="00000000" w:rsidR="00000000" w:rsidRPr="00000000">
        <w:rPr>
          <w:rtl w:val="0"/>
        </w:rPr>
      </w:r>
    </w:p>
    <w:p w:rsidR="00000000" w:rsidDel="00000000" w:rsidP="00000000" w:rsidRDefault="00000000" w:rsidRPr="00000000" w14:paraId="000000BD">
      <w:pPr>
        <w:spacing w:after="240" w:before="240" w:lineRule="auto"/>
        <w:ind w:left="720" w:firstLine="0"/>
        <w:rPr/>
      </w:pPr>
      <w:r w:rsidDel="00000000" w:rsidR="00000000" w:rsidRPr="00000000">
        <w:rPr>
          <w:rtl w:val="0"/>
        </w:rPr>
      </w:r>
    </w:p>
    <w:p w:rsidR="00000000" w:rsidDel="00000000" w:rsidP="00000000" w:rsidRDefault="00000000" w:rsidRPr="00000000" w14:paraId="000000BE">
      <w:pPr>
        <w:spacing w:after="240" w:before="240" w:lineRule="auto"/>
        <w:ind w:left="720" w:firstLine="0"/>
        <w:rPr/>
      </w:pPr>
      <w:r w:rsidDel="00000000" w:rsidR="00000000" w:rsidRPr="00000000">
        <w:rPr>
          <w:rtl w:val="0"/>
        </w:rPr>
      </w:r>
    </w:p>
    <w:p w:rsidR="00000000" w:rsidDel="00000000" w:rsidP="00000000" w:rsidRDefault="00000000" w:rsidRPr="00000000" w14:paraId="000000BF">
      <w:pPr>
        <w:spacing w:after="240" w:before="240" w:lineRule="auto"/>
        <w:ind w:left="720" w:firstLine="0"/>
        <w:rPr/>
      </w:pPr>
      <w:r w:rsidDel="00000000" w:rsidR="00000000" w:rsidRPr="00000000">
        <w:rPr>
          <w:rtl w:val="0"/>
        </w:rPr>
      </w:r>
    </w:p>
    <w:p w:rsidR="00000000" w:rsidDel="00000000" w:rsidP="00000000" w:rsidRDefault="00000000" w:rsidRPr="00000000" w14:paraId="000000C0">
      <w:pPr>
        <w:spacing w:after="240" w:before="240" w:lineRule="auto"/>
        <w:ind w:left="720" w:firstLine="0"/>
        <w:rPr/>
      </w:pPr>
      <w:r w:rsidDel="00000000" w:rsidR="00000000" w:rsidRPr="00000000">
        <w:rPr>
          <w:rtl w:val="0"/>
        </w:rPr>
      </w:r>
    </w:p>
    <w:p w:rsidR="00000000" w:rsidDel="00000000" w:rsidP="00000000" w:rsidRDefault="00000000" w:rsidRPr="00000000" w14:paraId="000000C1">
      <w:pPr>
        <w:spacing w:after="240" w:before="240" w:lineRule="auto"/>
        <w:ind w:left="720" w:firstLine="0"/>
        <w:rPr/>
      </w:pPr>
      <w:r w:rsidDel="00000000" w:rsidR="00000000" w:rsidRPr="00000000">
        <w:rPr>
          <w:rtl w:val="0"/>
        </w:rPr>
      </w:r>
    </w:p>
    <w:p w:rsidR="00000000" w:rsidDel="00000000" w:rsidP="00000000" w:rsidRDefault="00000000" w:rsidRPr="00000000" w14:paraId="000000C2">
      <w:pPr>
        <w:spacing w:after="240" w:before="240" w:lineRule="auto"/>
        <w:ind w:left="720" w:firstLine="0"/>
        <w:rPr/>
      </w:pPr>
      <w:r w:rsidDel="00000000" w:rsidR="00000000" w:rsidRPr="00000000">
        <w:rPr>
          <w:rtl w:val="0"/>
        </w:rPr>
      </w:r>
    </w:p>
    <w:p w:rsidR="00000000" w:rsidDel="00000000" w:rsidP="00000000" w:rsidRDefault="00000000" w:rsidRPr="00000000" w14:paraId="000000C3">
      <w:pPr>
        <w:spacing w:after="240" w:before="240" w:lineRule="auto"/>
        <w:ind w:left="720" w:firstLine="0"/>
        <w:rPr/>
      </w:pPr>
      <w:r w:rsidDel="00000000" w:rsidR="00000000" w:rsidRPr="00000000">
        <w:rPr>
          <w:rtl w:val="0"/>
        </w:rPr>
      </w:r>
    </w:p>
    <w:p w:rsidR="00000000" w:rsidDel="00000000" w:rsidP="00000000" w:rsidRDefault="00000000" w:rsidRPr="00000000" w14:paraId="000000C4">
      <w:pPr>
        <w:spacing w:after="240" w:before="240" w:lineRule="auto"/>
        <w:ind w:left="720" w:firstLine="0"/>
        <w:rPr/>
      </w:pPr>
      <w:r w:rsidDel="00000000" w:rsidR="00000000" w:rsidRPr="00000000">
        <w:rPr>
          <w:rtl w:val="0"/>
        </w:rPr>
      </w:r>
    </w:p>
    <w:p w:rsidR="00000000" w:rsidDel="00000000" w:rsidP="00000000" w:rsidRDefault="00000000" w:rsidRPr="00000000" w14:paraId="000000C5">
      <w:pPr>
        <w:spacing w:after="240" w:before="240" w:lineRule="auto"/>
        <w:ind w:left="720" w:firstLine="0"/>
        <w:rPr/>
      </w:pPr>
      <w:r w:rsidDel="00000000" w:rsidR="00000000" w:rsidRPr="00000000">
        <w:rPr>
          <w:rtl w:val="0"/>
        </w:rPr>
      </w:r>
    </w:p>
    <w:p w:rsidR="00000000" w:rsidDel="00000000" w:rsidP="00000000" w:rsidRDefault="00000000" w:rsidRPr="00000000" w14:paraId="000000C6">
      <w:pPr>
        <w:spacing w:after="240" w:before="240" w:lineRule="auto"/>
        <w:ind w:left="720" w:firstLine="0"/>
        <w:rPr/>
      </w:pPr>
      <w:r w:rsidDel="00000000" w:rsidR="00000000" w:rsidRPr="00000000">
        <w:rPr>
          <w:rtl w:val="0"/>
        </w:rPr>
      </w:r>
    </w:p>
    <w:p w:rsidR="00000000" w:rsidDel="00000000" w:rsidP="00000000" w:rsidRDefault="00000000" w:rsidRPr="00000000" w14:paraId="000000C7">
      <w:pPr>
        <w:spacing w:after="240" w:before="240" w:lineRule="auto"/>
        <w:ind w:left="720" w:firstLine="0"/>
        <w:rPr/>
      </w:pPr>
      <w:r w:rsidDel="00000000" w:rsidR="00000000" w:rsidRPr="00000000">
        <w:rPr>
          <w:rtl w:val="0"/>
        </w:rPr>
      </w:r>
    </w:p>
    <w:p w:rsidR="00000000" w:rsidDel="00000000" w:rsidP="00000000" w:rsidRDefault="00000000" w:rsidRPr="00000000" w14:paraId="000000C8">
      <w:pPr>
        <w:spacing w:after="240" w:before="240" w:lineRule="auto"/>
        <w:ind w:left="720" w:firstLine="0"/>
        <w:rPr/>
      </w:pPr>
      <w:r w:rsidDel="00000000" w:rsidR="00000000" w:rsidRPr="00000000">
        <w:rPr>
          <w:rtl w:val="0"/>
        </w:rPr>
      </w:r>
    </w:p>
    <w:p w:rsidR="00000000" w:rsidDel="00000000" w:rsidP="00000000" w:rsidRDefault="00000000" w:rsidRPr="00000000" w14:paraId="000000C9">
      <w:pPr>
        <w:numPr>
          <w:ilvl w:val="0"/>
          <w:numId w:val="16"/>
        </w:numPr>
        <w:spacing w:after="240" w:before="240" w:lineRule="auto"/>
        <w:ind w:left="1440" w:hanging="360"/>
      </w:pPr>
      <w:r w:rsidDel="00000000" w:rsidR="00000000" w:rsidRPr="00000000">
        <w:rPr>
          <w:rtl w:val="0"/>
        </w:rPr>
        <w:t xml:space="preserve">El histograma muestra una distribución normalizada de los precios (euro/m²), evidenciando que la eliminación de outliers ha mejorado la calidad de los datos para análisis posteriores.</w:t>
      </w:r>
    </w:p>
    <w:p w:rsidR="00000000" w:rsidDel="00000000" w:rsidP="00000000" w:rsidRDefault="00000000" w:rsidRPr="00000000" w14:paraId="000000CA">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152400</wp:posOffset>
            </wp:positionV>
            <wp:extent cx="4891088" cy="3158827"/>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891088" cy="3158827"/>
                    </a:xfrm>
                    <a:prstGeom prst="rect"/>
                    <a:ln/>
                  </pic:spPr>
                </pic:pic>
              </a:graphicData>
            </a:graphic>
          </wp:anchor>
        </w:drawing>
      </w:r>
    </w:p>
    <w:p w:rsidR="00000000" w:rsidDel="00000000" w:rsidP="00000000" w:rsidRDefault="00000000" w:rsidRPr="00000000" w14:paraId="000000CB">
      <w:pPr>
        <w:spacing w:after="240" w:before="240" w:lineRule="auto"/>
        <w:ind w:left="0" w:firstLine="0"/>
        <w:rPr/>
      </w:pP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b w:val="1"/>
          <w:rtl w:val="0"/>
        </w:rPr>
        <w:t xml:space="preserve">Prueba de Kolmogorov-Smirnov Estadístico=</w:t>
      </w:r>
      <w:r w:rsidDel="00000000" w:rsidR="00000000" w:rsidRPr="00000000">
        <w:rPr>
          <w:rtl w:val="0"/>
        </w:rPr>
        <w:t xml:space="preserve"> 0.019, p= 0.374 </w:t>
      </w:r>
    </w:p>
    <w:p w:rsidR="00000000" w:rsidDel="00000000" w:rsidP="00000000" w:rsidRDefault="00000000" w:rsidRPr="00000000" w14:paraId="000000D6">
      <w:pPr>
        <w:spacing w:after="240" w:before="240" w:lineRule="auto"/>
        <w:rPr/>
      </w:pPr>
      <w:r w:rsidDel="00000000" w:rsidR="00000000" w:rsidRPr="00000000">
        <w:rPr>
          <w:rtl w:val="0"/>
        </w:rPr>
        <w:t xml:space="preserve">Distribución probablemente normal </w:t>
      </w:r>
    </w:p>
    <w:p w:rsidR="00000000" w:rsidDel="00000000" w:rsidP="00000000" w:rsidRDefault="00000000" w:rsidRPr="00000000" w14:paraId="000000D7">
      <w:pPr>
        <w:spacing w:after="240" w:before="240" w:lineRule="auto"/>
        <w:rPr/>
      </w:pPr>
      <w:r w:rsidDel="00000000" w:rsidR="00000000" w:rsidRPr="00000000">
        <w:rPr>
          <w:rtl w:val="0"/>
        </w:rPr>
        <w:t xml:space="preserve">Al evaluar el modelo tras la eliminación de outliers utilizando K-means, se confirma mediante la prueba de Kolmogórov-Smirnov que la distribución de los datos sigue una distribución normal.</w:t>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rtl w:val="0"/>
        </w:rPr>
      </w:r>
    </w:p>
    <w:p w:rsidR="00000000" w:rsidDel="00000000" w:rsidP="00000000" w:rsidRDefault="00000000" w:rsidRPr="00000000" w14:paraId="000000DF">
      <w:pPr>
        <w:pStyle w:val="Heading3"/>
        <w:numPr>
          <w:ilvl w:val="0"/>
          <w:numId w:val="2"/>
        </w:numPr>
        <w:ind w:left="720" w:hanging="360"/>
        <w:rPr/>
      </w:pPr>
      <w:bookmarkStart w:colFirst="0" w:colLast="0" w:name="_oee34t9wu2vr" w:id="29"/>
      <w:bookmarkEnd w:id="29"/>
      <w:r w:rsidDel="00000000" w:rsidR="00000000" w:rsidRPr="00000000">
        <w:rPr>
          <w:rtl w:val="0"/>
        </w:rPr>
        <w:t xml:space="preserve">Correlación de las variables:</w:t>
      </w:r>
    </w:p>
    <w:p w:rsidR="00000000" w:rsidDel="00000000" w:rsidP="00000000" w:rsidRDefault="00000000" w:rsidRPr="00000000" w14:paraId="000000E0">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115049</wp:posOffset>
            </wp:positionV>
            <wp:extent cx="3624263" cy="2705065"/>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624263" cy="2705065"/>
                    </a:xfrm>
                    <a:prstGeom prst="rect"/>
                    <a:ln/>
                  </pic:spPr>
                </pic:pic>
              </a:graphicData>
            </a:graphic>
          </wp:anchor>
        </w:drawing>
      </w:r>
    </w:p>
    <w:p w:rsidR="00000000" w:rsidDel="00000000" w:rsidP="00000000" w:rsidRDefault="00000000" w:rsidRPr="00000000" w14:paraId="000000E1">
      <w:pPr>
        <w:pStyle w:val="Heading3"/>
        <w:ind w:left="720" w:firstLine="0"/>
        <w:rPr/>
      </w:pPr>
      <w:bookmarkStart w:colFirst="0" w:colLast="0" w:name="_mvyyygr8oduu" w:id="30"/>
      <w:bookmarkEnd w:id="30"/>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Price (euro/month) y Price (euro/m2)</w:t>
      </w:r>
      <w:r w:rsidDel="00000000" w:rsidR="00000000" w:rsidRPr="00000000">
        <w:rPr>
          <w:rtl w:val="0"/>
        </w:rPr>
        <w:t xml:space="preserve">: La muy fuerte correlación positiva (0.87) entre los precios por mes y los precios por metro cuadrado indica que ambas medidas de precio se mueven en la misma dirección y están fuertemente relacionadas.</w:t>
      </w:r>
    </w:p>
    <w:p w:rsidR="00000000" w:rsidDel="00000000" w:rsidP="00000000" w:rsidRDefault="00000000" w:rsidRPr="00000000" w14:paraId="000000F1">
      <w:pPr>
        <w:rPr/>
      </w:pPr>
      <w:r w:rsidDel="00000000" w:rsidR="00000000" w:rsidRPr="00000000">
        <w:rPr>
          <w:b w:val="1"/>
          <w:rtl w:val="0"/>
        </w:rPr>
        <w:t xml:space="preserve">Year y Price (euro/m2)</w:t>
      </w:r>
      <w:r w:rsidDel="00000000" w:rsidR="00000000" w:rsidRPr="00000000">
        <w:rPr>
          <w:rtl w:val="0"/>
        </w:rPr>
        <w:t xml:space="preserve">: La fuerte correlación positiva (0.62) sugiere que a medida que pasan los años, los precios por metro cuadrado tienden a aumentar. Esto es consistente con la tendencia general de aumento en los precios del mercado inmobiliario.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numPr>
          <w:ilvl w:val="0"/>
          <w:numId w:val="2"/>
        </w:numPr>
        <w:ind w:left="720" w:hanging="360"/>
        <w:rPr/>
      </w:pPr>
      <w:bookmarkStart w:colFirst="0" w:colLast="0" w:name="_qje9vbta5de2" w:id="31"/>
      <w:bookmarkEnd w:id="31"/>
      <w:r w:rsidDel="00000000" w:rsidR="00000000" w:rsidRPr="00000000">
        <w:rPr>
          <w:rtl w:val="0"/>
        </w:rPr>
        <w:t xml:space="preserve">Binarización de Categorías:</w:t>
      </w:r>
    </w:p>
    <w:p w:rsidR="00000000" w:rsidDel="00000000" w:rsidP="00000000" w:rsidRDefault="00000000" w:rsidRPr="00000000" w14:paraId="000000F4">
      <w:pPr>
        <w:ind w:left="720" w:firstLine="0"/>
        <w:jc w:val="both"/>
        <w:rPr>
          <w:sz w:val="26"/>
          <w:szCs w:val="26"/>
        </w:rPr>
      </w:pPr>
      <w:r w:rsidDel="00000000" w:rsidR="00000000" w:rsidRPr="00000000">
        <w:rPr>
          <w:sz w:val="26"/>
          <w:szCs w:val="26"/>
          <w:rtl w:val="0"/>
        </w:rPr>
        <w:t xml:space="preserve">Para preparar los datos para el aprendizaje automático, fue necesario realizar la binarización de las variables categóricas. Utilizamos la técnica de One-Hot Encoding, que nos permitió transformar las variables categóricas "District" y "Neighbourhood" en un formato numérico. Esto facilita el procesamiento por los algoritmos, mejorando el análisis y el modelado predictivo.</w:t>
      </w:r>
    </w:p>
    <w:p w:rsidR="00000000" w:rsidDel="00000000" w:rsidP="00000000" w:rsidRDefault="00000000" w:rsidRPr="00000000" w14:paraId="000000F5">
      <w:pPr>
        <w:ind w:left="720" w:firstLine="0"/>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161925</wp:posOffset>
            </wp:positionV>
            <wp:extent cx="5014913" cy="2025253"/>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014913" cy="2025253"/>
                    </a:xfrm>
                    <a:prstGeom prst="rect"/>
                    <a:ln/>
                  </pic:spPr>
                </pic:pic>
              </a:graphicData>
            </a:graphic>
          </wp:anchor>
        </w:drawing>
      </w:r>
    </w:p>
    <w:p w:rsidR="00000000" w:rsidDel="00000000" w:rsidP="00000000" w:rsidRDefault="00000000" w:rsidRPr="00000000" w14:paraId="000000F6">
      <w:pPr>
        <w:ind w:left="720" w:firstLine="0"/>
        <w:rPr>
          <w:sz w:val="26"/>
          <w:szCs w:val="26"/>
        </w:rPr>
      </w:pPr>
      <w:r w:rsidDel="00000000" w:rsidR="00000000" w:rsidRPr="00000000">
        <w:rPr>
          <w:rtl w:val="0"/>
        </w:rPr>
      </w:r>
    </w:p>
    <w:p w:rsidR="00000000" w:rsidDel="00000000" w:rsidP="00000000" w:rsidRDefault="00000000" w:rsidRPr="00000000" w14:paraId="000000F7">
      <w:pPr>
        <w:ind w:left="720" w:firstLine="0"/>
        <w:rPr>
          <w:b w:val="1"/>
          <w:sz w:val="26"/>
          <w:szCs w:val="26"/>
        </w:rPr>
      </w:pPr>
      <w:r w:rsidDel="00000000" w:rsidR="00000000" w:rsidRPr="00000000">
        <w:rPr>
          <w:rtl w:val="0"/>
        </w:rPr>
      </w:r>
    </w:p>
    <w:p w:rsidR="00000000" w:rsidDel="00000000" w:rsidP="00000000" w:rsidRDefault="00000000" w:rsidRPr="00000000" w14:paraId="000000F8">
      <w:pPr>
        <w:ind w:left="720" w:firstLine="0"/>
        <w:rPr>
          <w:b w:val="1"/>
          <w:sz w:val="26"/>
          <w:szCs w:val="26"/>
        </w:rPr>
      </w:pPr>
      <w:r w:rsidDel="00000000" w:rsidR="00000000" w:rsidRPr="00000000">
        <w:rPr>
          <w:rtl w:val="0"/>
        </w:rPr>
      </w:r>
    </w:p>
    <w:p w:rsidR="00000000" w:rsidDel="00000000" w:rsidP="00000000" w:rsidRDefault="00000000" w:rsidRPr="00000000" w14:paraId="000000F9">
      <w:pPr>
        <w:ind w:left="720" w:firstLine="0"/>
        <w:rPr>
          <w:b w:val="1"/>
          <w:sz w:val="26"/>
          <w:szCs w:val="26"/>
        </w:rPr>
      </w:pPr>
      <w:r w:rsidDel="00000000" w:rsidR="00000000" w:rsidRPr="00000000">
        <w:rPr>
          <w:rtl w:val="0"/>
        </w:rPr>
      </w:r>
    </w:p>
    <w:p w:rsidR="00000000" w:rsidDel="00000000" w:rsidP="00000000" w:rsidRDefault="00000000" w:rsidRPr="00000000" w14:paraId="000000FA">
      <w:pPr>
        <w:ind w:left="720" w:firstLine="0"/>
        <w:rPr>
          <w:b w:val="1"/>
          <w:sz w:val="26"/>
          <w:szCs w:val="26"/>
        </w:rPr>
      </w:pPr>
      <w:r w:rsidDel="00000000" w:rsidR="00000000" w:rsidRPr="00000000">
        <w:rPr>
          <w:rtl w:val="0"/>
        </w:rPr>
      </w:r>
    </w:p>
    <w:p w:rsidR="00000000" w:rsidDel="00000000" w:rsidP="00000000" w:rsidRDefault="00000000" w:rsidRPr="00000000" w14:paraId="000000FB">
      <w:pPr>
        <w:ind w:left="720" w:firstLine="0"/>
        <w:rPr>
          <w:b w:val="1"/>
          <w:sz w:val="26"/>
          <w:szCs w:val="26"/>
        </w:rPr>
      </w:pPr>
      <w:r w:rsidDel="00000000" w:rsidR="00000000" w:rsidRPr="00000000">
        <w:rPr>
          <w:rtl w:val="0"/>
        </w:rPr>
      </w:r>
    </w:p>
    <w:p w:rsidR="00000000" w:rsidDel="00000000" w:rsidP="00000000" w:rsidRDefault="00000000" w:rsidRPr="00000000" w14:paraId="000000FC">
      <w:pPr>
        <w:pStyle w:val="Heading3"/>
        <w:numPr>
          <w:ilvl w:val="0"/>
          <w:numId w:val="2"/>
        </w:numPr>
        <w:ind w:left="720" w:hanging="360"/>
        <w:rPr/>
      </w:pPr>
      <w:bookmarkStart w:colFirst="0" w:colLast="0" w:name="_anvxeoqwp3ym" w:id="32"/>
      <w:bookmarkEnd w:id="32"/>
      <w:r w:rsidDel="00000000" w:rsidR="00000000" w:rsidRPr="00000000">
        <w:rPr>
          <w:rtl w:val="0"/>
        </w:rPr>
        <w:t xml:space="preserve">División Train Test:</w:t>
      </w:r>
    </w:p>
    <w:p w:rsidR="00000000" w:rsidDel="00000000" w:rsidP="00000000" w:rsidRDefault="00000000" w:rsidRPr="00000000" w14:paraId="000000FD">
      <w:pPr>
        <w:jc w:val="both"/>
        <w:rPr/>
      </w:pPr>
      <w:r w:rsidDel="00000000" w:rsidR="00000000" w:rsidRPr="00000000">
        <w:rPr>
          <w:rtl w:val="0"/>
        </w:rPr>
        <w:t xml:space="preserve">Dividimos el conjunto de datos en conjuntos de entrenamiento y prueba con una </w:t>
      </w:r>
      <w:r w:rsidDel="00000000" w:rsidR="00000000" w:rsidRPr="00000000">
        <w:rPr>
          <w:b w:val="1"/>
          <w:rtl w:val="0"/>
        </w:rPr>
        <w:t xml:space="preserve">proporción de 80-20</w:t>
      </w:r>
      <w:r w:rsidDel="00000000" w:rsidR="00000000" w:rsidRPr="00000000">
        <w:rPr>
          <w:rtl w:val="0"/>
        </w:rPr>
        <w:t xml:space="preserve">. Esto nos permitió entrenar el modelo con el 80% de los datos y evaluarlo con el 20% restante para verificar su rendimiento en datos no vistos.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3"/>
        <w:numPr>
          <w:ilvl w:val="0"/>
          <w:numId w:val="2"/>
        </w:numPr>
        <w:ind w:left="720" w:hanging="360"/>
        <w:rPr/>
      </w:pPr>
      <w:bookmarkStart w:colFirst="0" w:colLast="0" w:name="_mp41f85eptx8" w:id="33"/>
      <w:bookmarkEnd w:id="33"/>
      <w:r w:rsidDel="00000000" w:rsidR="00000000" w:rsidRPr="00000000">
        <w:rPr>
          <w:rtl w:val="0"/>
        </w:rPr>
        <w:t xml:space="preserve">Transformación:</w:t>
      </w:r>
    </w:p>
    <w:p w:rsidR="00000000" w:rsidDel="00000000" w:rsidP="00000000" w:rsidRDefault="00000000" w:rsidRPr="00000000" w14:paraId="00000100">
      <w:pPr>
        <w:ind w:left="0" w:firstLine="0"/>
        <w:jc w:val="both"/>
        <w:rPr/>
      </w:pPr>
      <w:r w:rsidDel="00000000" w:rsidR="00000000" w:rsidRPr="00000000">
        <w:rPr>
          <w:rtl w:val="0"/>
        </w:rPr>
        <w:t xml:space="preserve">Para preparar los datos para Machine Learn y mejorar el rendimiento y la precisión de los modelos, utilizamos la técnica de </w:t>
      </w:r>
      <w:r w:rsidDel="00000000" w:rsidR="00000000" w:rsidRPr="00000000">
        <w:rPr>
          <w:b w:val="1"/>
          <w:rtl w:val="0"/>
        </w:rPr>
        <w:t xml:space="preserve">MinMaxScaler</w:t>
      </w:r>
      <w:r w:rsidDel="00000000" w:rsidR="00000000" w:rsidRPr="00000000">
        <w:rPr>
          <w:rtl w:val="0"/>
        </w:rPr>
        <w:t xml:space="preserve">.</w:t>
      </w:r>
      <w:r w:rsidDel="00000000" w:rsidR="00000000" w:rsidRPr="00000000">
        <w:rPr>
          <w:rtl w:val="0"/>
        </w:rPr>
        <w:t xml:space="preserve"> Esta técnica transforma las características para que todas estén dentro de un rango específico, generalmente entre 0 y 1. Al hacerlo, se asegura que ninguna característica domine sobre las otras debido a diferencias en escala, proporcionando un campo de juego equilibrado para los algoritmos de machine learning.</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pStyle w:val="Heading3"/>
        <w:numPr>
          <w:ilvl w:val="0"/>
          <w:numId w:val="2"/>
        </w:numPr>
        <w:ind w:left="720" w:hanging="360"/>
      </w:pPr>
      <w:bookmarkStart w:colFirst="0" w:colLast="0" w:name="_vz1rvdxua7uz" w:id="34"/>
      <w:bookmarkEnd w:id="34"/>
      <w:r w:rsidDel="00000000" w:rsidR="00000000" w:rsidRPr="00000000">
        <w:rPr>
          <w:rtl w:val="0"/>
        </w:rPr>
        <w:t xml:space="preserve">Modelo, </w:t>
      </w:r>
      <w:r w:rsidDel="00000000" w:rsidR="00000000" w:rsidRPr="00000000">
        <w:rPr>
          <w:rtl w:val="0"/>
        </w:rPr>
        <w:t xml:space="preserve">Entrenamiento y Evaluación</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spacing w:after="240" w:before="240" w:lineRule="auto"/>
        <w:rPr/>
      </w:pPr>
      <w:r w:rsidDel="00000000" w:rsidR="00000000" w:rsidRPr="00000000">
        <w:rPr>
          <w:rtl w:val="0"/>
        </w:rPr>
        <w:t xml:space="preserve">Para evaluar el rendimiento del modelo, seguimos los siguientes pasos:</w:t>
      </w:r>
    </w:p>
    <w:p w:rsidR="00000000" w:rsidDel="00000000" w:rsidP="00000000" w:rsidRDefault="00000000" w:rsidRPr="00000000" w14:paraId="00000105">
      <w:pPr>
        <w:rPr/>
      </w:pPr>
      <w:r w:rsidDel="00000000" w:rsidR="00000000" w:rsidRPr="00000000">
        <w:rPr>
          <w:b w:val="1"/>
          <w:rtl w:val="0"/>
        </w:rPr>
        <w:t xml:space="preserve">Primer Intento (Median_Model): </w:t>
      </w:r>
      <w:r w:rsidDel="00000000" w:rsidR="00000000" w:rsidRPr="00000000">
        <w:rPr>
          <w:rtl w:val="0"/>
        </w:rPr>
        <w:t xml:space="preserve"> Usamos el Modelo de regresión lineal simple</w:t>
      </w:r>
    </w:p>
    <w:p w:rsidR="00000000" w:rsidDel="00000000" w:rsidP="00000000" w:rsidRDefault="00000000" w:rsidRPr="00000000" w14:paraId="00000106">
      <w:pPr>
        <w:pStyle w:val="Heading4"/>
        <w:keepNext w:val="0"/>
        <w:keepLines w:val="0"/>
        <w:numPr>
          <w:ilvl w:val="0"/>
          <w:numId w:val="10"/>
        </w:numPr>
        <w:spacing w:after="0" w:afterAutospacing="0"/>
        <w:jc w:val="left"/>
        <w:rPr/>
      </w:pPr>
      <w:bookmarkStart w:colFirst="0" w:colLast="0" w:name="_1gdcgeejdlcg" w:id="35"/>
      <w:bookmarkEnd w:id="35"/>
      <w:r w:rsidDel="00000000" w:rsidR="00000000" w:rsidRPr="00000000">
        <w:rPr>
          <w:rtl w:val="0"/>
        </w:rPr>
        <w:t xml:space="preserve">Evaluación del Modelo: </w:t>
      </w:r>
      <w:r w:rsidDel="00000000" w:rsidR="00000000" w:rsidRPr="00000000">
        <w:rPr>
          <w:rtl w:val="0"/>
        </w:rPr>
      </w:r>
    </w:p>
    <w:p w:rsidR="00000000" w:rsidDel="00000000" w:rsidP="00000000" w:rsidRDefault="00000000" w:rsidRPr="00000000" w14:paraId="00000107">
      <w:pPr>
        <w:pStyle w:val="Heading4"/>
        <w:keepNext w:val="0"/>
        <w:keepLines w:val="0"/>
        <w:numPr>
          <w:ilvl w:val="1"/>
          <w:numId w:val="10"/>
        </w:numPr>
        <w:spacing w:after="0" w:afterAutospacing="0" w:before="0" w:beforeAutospacing="0"/>
        <w:ind w:left="1440" w:hanging="360"/>
        <w:jc w:val="left"/>
        <w:rPr/>
      </w:pPr>
      <w:bookmarkStart w:colFirst="0" w:colLast="0" w:name="_p2hyd7os0s8a" w:id="36"/>
      <w:bookmarkEnd w:id="36"/>
      <w:r w:rsidDel="00000000" w:rsidR="00000000" w:rsidRPr="00000000">
        <w:rPr>
          <w:b w:val="1"/>
          <w:rtl w:val="0"/>
        </w:rPr>
        <w:t xml:space="preserve">‘MAE (Mean Absolute Error)</w:t>
      </w:r>
      <w:r w:rsidDel="00000000" w:rsidR="00000000" w:rsidRPr="00000000">
        <w:rPr>
          <w:rtl w:val="0"/>
        </w:rPr>
        <w:t xml:space="preserve">:</w:t>
      </w:r>
      <w:r w:rsidDel="00000000" w:rsidR="00000000" w:rsidRPr="00000000">
        <w:rPr>
          <w:b w:val="0"/>
          <w:rtl w:val="0"/>
        </w:rPr>
        <w:t xml:space="preserve"> 0.6076</w:t>
      </w:r>
    </w:p>
    <w:p w:rsidR="00000000" w:rsidDel="00000000" w:rsidP="00000000" w:rsidRDefault="00000000" w:rsidRPr="00000000" w14:paraId="00000108">
      <w:pPr>
        <w:pStyle w:val="Heading4"/>
        <w:keepNext w:val="0"/>
        <w:keepLines w:val="0"/>
        <w:numPr>
          <w:ilvl w:val="1"/>
          <w:numId w:val="10"/>
        </w:numPr>
        <w:spacing w:after="0" w:afterAutospacing="0" w:before="0" w:beforeAutospacing="0"/>
        <w:ind w:left="1440" w:hanging="360"/>
        <w:jc w:val="left"/>
        <w:rPr/>
      </w:pPr>
      <w:bookmarkStart w:colFirst="0" w:colLast="0" w:name="_x3hehy2e5sgj" w:id="37"/>
      <w:bookmarkEnd w:id="37"/>
      <w:r w:rsidDel="00000000" w:rsidR="00000000" w:rsidRPr="00000000">
        <w:rPr>
          <w:b w:val="1"/>
          <w:rtl w:val="0"/>
        </w:rPr>
        <w:t xml:space="preserve">MSE (Mean Squaed Error)</w:t>
      </w:r>
      <w:r w:rsidDel="00000000" w:rsidR="00000000" w:rsidRPr="00000000">
        <w:rPr>
          <w:rtl w:val="0"/>
        </w:rPr>
        <w:t xml:space="preserve">: </w:t>
      </w:r>
      <w:r w:rsidDel="00000000" w:rsidR="00000000" w:rsidRPr="00000000">
        <w:rPr>
          <w:b w:val="0"/>
          <w:rtl w:val="0"/>
        </w:rPr>
        <w:t xml:space="preserve">0.7825</w:t>
      </w:r>
    </w:p>
    <w:p w:rsidR="00000000" w:rsidDel="00000000" w:rsidP="00000000" w:rsidRDefault="00000000" w:rsidRPr="00000000" w14:paraId="00000109">
      <w:pPr>
        <w:pStyle w:val="Heading4"/>
        <w:keepNext w:val="0"/>
        <w:keepLines w:val="0"/>
        <w:numPr>
          <w:ilvl w:val="1"/>
          <w:numId w:val="10"/>
        </w:numPr>
        <w:spacing w:after="0" w:afterAutospacing="0" w:before="0" w:beforeAutospacing="0"/>
        <w:ind w:left="1440" w:hanging="360"/>
        <w:jc w:val="left"/>
        <w:rPr/>
      </w:pPr>
      <w:bookmarkStart w:colFirst="0" w:colLast="0" w:name="_i8xdlbc4coxk" w:id="38"/>
      <w:bookmarkEnd w:id="38"/>
      <w:r w:rsidDel="00000000" w:rsidR="00000000" w:rsidRPr="00000000">
        <w:rPr>
          <w:b w:val="1"/>
          <w:rtl w:val="0"/>
        </w:rPr>
        <w:t xml:space="preserve">RMSE (Root Mean </w:t>
      </w:r>
      <w:r w:rsidDel="00000000" w:rsidR="00000000" w:rsidRPr="00000000">
        <w:rPr>
          <w:rtl w:val="0"/>
        </w:rPr>
        <w:t xml:space="preserve">r</w:t>
      </w:r>
      <w:r w:rsidDel="00000000" w:rsidR="00000000" w:rsidRPr="00000000">
        <w:rPr>
          <w:b w:val="1"/>
          <w:rtl w:val="0"/>
        </w:rPr>
        <w:t xml:space="preserve">Squared Error)</w:t>
      </w:r>
      <w:r w:rsidDel="00000000" w:rsidR="00000000" w:rsidRPr="00000000">
        <w:rPr>
          <w:rtl w:val="0"/>
        </w:rPr>
        <w:t xml:space="preserve">:</w:t>
      </w:r>
      <w:r w:rsidDel="00000000" w:rsidR="00000000" w:rsidRPr="00000000">
        <w:rPr>
          <w:b w:val="0"/>
          <w:rtl w:val="0"/>
        </w:rPr>
        <w:t xml:space="preserve"> 0.8846</w:t>
      </w:r>
    </w:p>
    <w:p w:rsidR="00000000" w:rsidDel="00000000" w:rsidP="00000000" w:rsidRDefault="00000000" w:rsidRPr="00000000" w14:paraId="0000010A">
      <w:pPr>
        <w:pStyle w:val="Heading4"/>
        <w:keepNext w:val="0"/>
        <w:keepLines w:val="0"/>
        <w:numPr>
          <w:ilvl w:val="1"/>
          <w:numId w:val="10"/>
        </w:numPr>
        <w:spacing w:before="0" w:beforeAutospacing="0"/>
        <w:ind w:left="1440" w:hanging="360"/>
        <w:jc w:val="left"/>
        <w:rPr/>
      </w:pPr>
      <w:bookmarkStart w:colFirst="0" w:colLast="0" w:name="_ekdspyx85gwf" w:id="39"/>
      <w:bookmarkEnd w:id="39"/>
      <w:r w:rsidDel="00000000" w:rsidR="00000000" w:rsidRPr="00000000">
        <w:rPr>
          <w:b w:val="1"/>
          <w:rtl w:val="0"/>
        </w:rPr>
        <w:t xml:space="preserve">R² (Coeficiente de Determinación)</w:t>
      </w:r>
      <w:r w:rsidDel="00000000" w:rsidR="00000000" w:rsidRPr="00000000">
        <w:rPr>
          <w:rtl w:val="0"/>
        </w:rPr>
        <w:t xml:space="preserve">: </w:t>
      </w:r>
      <w:r w:rsidDel="00000000" w:rsidR="00000000" w:rsidRPr="00000000">
        <w:rPr>
          <w:b w:val="0"/>
          <w:rtl w:val="0"/>
        </w:rPr>
        <w:t xml:space="preserve">0.8475</w:t>
      </w:r>
    </w:p>
    <w:p w:rsidR="00000000" w:rsidDel="00000000" w:rsidP="00000000" w:rsidRDefault="00000000" w:rsidRPr="00000000" w14:paraId="0000010B">
      <w:pPr>
        <w:spacing w:after="240" w:before="240" w:lineRule="auto"/>
        <w:ind w:left="0" w:firstLine="0"/>
        <w:jc w:val="both"/>
        <w:rPr/>
      </w:pPr>
      <w:r w:rsidDel="00000000" w:rsidR="00000000" w:rsidRPr="00000000">
        <w:rPr>
          <w:b w:val="1"/>
          <w:rtl w:val="0"/>
        </w:rPr>
        <w:t xml:space="preserve">R²</w:t>
      </w:r>
      <w:r w:rsidDel="00000000" w:rsidR="00000000" w:rsidRPr="00000000">
        <w:rPr>
          <w:rtl w:val="0"/>
        </w:rPr>
        <w:t xml:space="preserve">: Este coeficiente de determinación indica qué tan bien los datos observados se explican por las predicciones del modelo. El valor de 0.8475 significa que el modelo explica el 84.75% de la variabilidad de los datos, lo que refleja un buen desempeño del modelo.</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b w:val="0"/>
        </w:rPr>
      </w:pPr>
      <w:bookmarkStart w:colFirst="0" w:colLast="0" w:name="_pfpzvi6fynzi" w:id="40"/>
      <w:bookmarkEnd w:id="40"/>
      <w:r w:rsidDel="00000000" w:rsidR="00000000" w:rsidRPr="00000000">
        <w:rPr>
          <w:b w:val="1"/>
          <w:rtl w:val="0"/>
        </w:rPr>
        <w:t xml:space="preserve">Segundo intento (Modelo_Cluster):</w:t>
      </w:r>
      <w:r w:rsidDel="00000000" w:rsidR="00000000" w:rsidRPr="00000000">
        <w:rPr>
          <w:rtl w:val="0"/>
        </w:rPr>
        <w:t xml:space="preserve"> </w:t>
      </w:r>
      <w:r w:rsidDel="00000000" w:rsidR="00000000" w:rsidRPr="00000000">
        <w:rPr>
          <w:b w:val="0"/>
          <w:rtl w:val="0"/>
        </w:rPr>
        <w:t xml:space="preserve">Usamos el Modelo de Ridge</w:t>
      </w:r>
      <w:r w:rsidDel="00000000" w:rsidR="00000000" w:rsidRPr="00000000">
        <w:rPr>
          <w:rtl w:val="0"/>
        </w:rPr>
      </w:r>
    </w:p>
    <w:p w:rsidR="00000000" w:rsidDel="00000000" w:rsidP="00000000" w:rsidRDefault="00000000" w:rsidRPr="00000000" w14:paraId="0000010E">
      <w:pPr>
        <w:pStyle w:val="Heading4"/>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pPr>
      <w:bookmarkStart w:colFirst="0" w:colLast="0" w:name="_2vqxefbqw88q" w:id="41"/>
      <w:bookmarkEnd w:id="41"/>
      <w:r w:rsidDel="00000000" w:rsidR="00000000" w:rsidRPr="00000000">
        <w:rPr>
          <w:b w:val="1"/>
          <w:rtl w:val="0"/>
        </w:rPr>
        <w:t xml:space="preserve">AE (Ridge): </w:t>
      </w:r>
      <w:r w:rsidDel="00000000" w:rsidR="00000000" w:rsidRPr="00000000">
        <w:rPr>
          <w:b w:val="0"/>
          <w:rtl w:val="0"/>
        </w:rPr>
        <w:t xml:space="preserve">0.4916088822009097, </w:t>
      </w:r>
    </w:p>
    <w:p w:rsidR="00000000" w:rsidDel="00000000" w:rsidP="00000000" w:rsidRDefault="00000000" w:rsidRPr="00000000" w14:paraId="0000010F">
      <w:pPr>
        <w:pStyle w:val="Heading4"/>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bookmarkStart w:colFirst="0" w:colLast="0" w:name="_rujwskdvfsrf" w:id="42"/>
      <w:bookmarkEnd w:id="42"/>
      <w:r w:rsidDel="00000000" w:rsidR="00000000" w:rsidRPr="00000000">
        <w:rPr>
          <w:b w:val="1"/>
          <w:rtl w:val="0"/>
        </w:rPr>
        <w:t xml:space="preserve">MSE (Ridge):</w:t>
      </w:r>
      <w:r w:rsidDel="00000000" w:rsidR="00000000" w:rsidRPr="00000000">
        <w:rPr>
          <w:b w:val="0"/>
          <w:rtl w:val="0"/>
        </w:rPr>
        <w:t xml:space="preserve"> 0.4607188546634674, </w:t>
      </w:r>
    </w:p>
    <w:p w:rsidR="00000000" w:rsidDel="00000000" w:rsidP="00000000" w:rsidRDefault="00000000" w:rsidRPr="00000000" w14:paraId="00000110">
      <w:pPr>
        <w:pStyle w:val="Heading4"/>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bookmarkStart w:colFirst="0" w:colLast="0" w:name="_vrjjo29pcgzn" w:id="43"/>
      <w:bookmarkEnd w:id="43"/>
      <w:r w:rsidDel="00000000" w:rsidR="00000000" w:rsidRPr="00000000">
        <w:rPr>
          <w:b w:val="1"/>
          <w:rtl w:val="0"/>
        </w:rPr>
        <w:t xml:space="preserve">RMSE (Ridge): </w:t>
      </w:r>
      <w:r w:rsidDel="00000000" w:rsidR="00000000" w:rsidRPr="00000000">
        <w:rPr>
          <w:b w:val="0"/>
          <w:rtl w:val="0"/>
        </w:rPr>
        <w:t xml:space="preserve">0.6787627381224366, </w:t>
      </w:r>
    </w:p>
    <w:p w:rsidR="00000000" w:rsidDel="00000000" w:rsidP="00000000" w:rsidRDefault="00000000" w:rsidRPr="00000000" w14:paraId="00000111">
      <w:pPr>
        <w:pStyle w:val="Heading4"/>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40" w:before="0" w:beforeAutospacing="0" w:line="276" w:lineRule="auto"/>
        <w:ind w:left="1440" w:right="0" w:hanging="360"/>
        <w:jc w:val="left"/>
      </w:pPr>
      <w:bookmarkStart w:colFirst="0" w:colLast="0" w:name="_6qfw5jkjmr7b" w:id="44"/>
      <w:bookmarkEnd w:id="44"/>
      <w:r w:rsidDel="00000000" w:rsidR="00000000" w:rsidRPr="00000000">
        <w:rPr>
          <w:b w:val="1"/>
          <w:rtl w:val="0"/>
        </w:rPr>
        <w:t xml:space="preserve">R² (Ridge): </w:t>
      </w:r>
      <w:r w:rsidDel="00000000" w:rsidR="00000000" w:rsidRPr="00000000">
        <w:rPr>
          <w:b w:val="0"/>
          <w:rtl w:val="0"/>
        </w:rPr>
        <w:t xml:space="preserve">0.9117413927163492 </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b w:val="1"/>
          <w:rtl w:val="0"/>
        </w:rPr>
        <w:t xml:space="preserve">R²</w:t>
      </w:r>
      <w:r w:rsidDel="00000000" w:rsidR="00000000" w:rsidRPr="00000000">
        <w:rPr>
          <w:rtl w:val="0"/>
        </w:rPr>
        <w:t xml:space="preserve">: El coeficiente de 0.9117, indica que el modelo ahora explica el 91.17% de la variabilidad de los datos, en comparación con el 84.75% anterior.</w:t>
      </w:r>
    </w:p>
    <w:p w:rsidR="00000000" w:rsidDel="00000000" w:rsidP="00000000" w:rsidRDefault="00000000" w:rsidRPr="00000000" w14:paraId="00000114">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rPr>
          <w:b w:val="0"/>
        </w:rPr>
      </w:pPr>
      <w:bookmarkStart w:colFirst="0" w:colLast="0" w:name="_3dqyi3dneimt" w:id="45"/>
      <w:bookmarkEnd w:id="45"/>
      <w:r w:rsidDel="00000000" w:rsidR="00000000" w:rsidRPr="00000000">
        <w:rPr>
          <w:b w:val="0"/>
          <w:rtl w:val="0"/>
        </w:rPr>
        <w:t xml:space="preserve">El ajuste del modelo utilizando K-means para la gestión de outliers ha mejorado considerablemente su desempeño. El valor de R² aumentó de 0.84 a 0.91, lo que refleja una mejora sustancial en la capacidad del modelo para explicar la variabilidad de los datos. Las métricas de error también muestran una reducción significativa, lo que indica una mayor precisión y fiabilidad en las predicciones del modelo.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4"/>
        <w:keepNext w:val="0"/>
        <w:keepLines w:val="0"/>
        <w:ind w:left="0" w:firstLine="0"/>
        <w:jc w:val="left"/>
        <w:rPr>
          <w:b w:val="0"/>
        </w:rPr>
      </w:pPr>
      <w:bookmarkStart w:colFirst="0" w:colLast="0" w:name="_y33bdfqwnvrk" w:id="46"/>
      <w:bookmarkEnd w:id="46"/>
      <w:r w:rsidDel="00000000" w:rsidR="00000000" w:rsidRPr="00000000">
        <w:rPr>
          <w:rtl w:val="0"/>
        </w:rPr>
        <w:t xml:space="preserve">Tercer intento con Feature_engineering: </w:t>
      </w:r>
      <w:r w:rsidDel="00000000" w:rsidR="00000000" w:rsidRPr="00000000">
        <w:rPr>
          <w:b w:val="0"/>
          <w:rtl w:val="0"/>
        </w:rPr>
        <w:t xml:space="preserve">Usamos el Modelo de Ridge</w:t>
      </w:r>
    </w:p>
    <w:p w:rsidR="00000000" w:rsidDel="00000000" w:rsidP="00000000" w:rsidRDefault="00000000" w:rsidRPr="00000000" w14:paraId="00000117">
      <w:pPr>
        <w:rPr>
          <w:u w:val="single"/>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En los modelos de predicción anteriores, se observó que las proyecciones a futuro se "aplanaron" debido a la caída significativa en los precios durante el período de la pandemia de COVID-19, específicamente entre 2020 y 2022. Esta caída en los precios afectó la capacidad del modelo para hacer predicciones precisas más allá de ese período, ya que los patrones de precios durante la pandemia fueron inusuales y no reflejaron las tendencias históricas.</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numPr>
          <w:ilvl w:val="0"/>
          <w:numId w:val="4"/>
        </w:numPr>
        <w:ind w:left="720" w:hanging="360"/>
        <w:jc w:val="both"/>
        <w:rPr>
          <w:u w:val="none"/>
        </w:rPr>
      </w:pPr>
      <w:r w:rsidDel="00000000" w:rsidR="00000000" w:rsidRPr="00000000">
        <w:rPr>
          <w:b w:val="1"/>
          <w:rtl w:val="0"/>
        </w:rPr>
        <w:t xml:space="preserve">Reconstrucción del Dataset con Feature Engineering: </w:t>
      </w:r>
      <w:r w:rsidDel="00000000" w:rsidR="00000000" w:rsidRPr="00000000">
        <w:rPr>
          <w:rtl w:val="0"/>
        </w:rPr>
        <w:t xml:space="preserve">Se llevó a cabo un proceso de ingeniería de características (feature engineering) para ajustar el dataset a las condiciones específicas del período 2020-2022. Esto implicó la creación de nuevas variables o la modificación de las existentes para capturar mejor los efectos de la pandemia en los precios.Se actualizaron y ajustaron los datos para reflejar con mayor precisión los cambios en el mercado durante este período atípico.</w:t>
      </w:r>
    </w:p>
    <w:p w:rsidR="00000000" w:rsidDel="00000000" w:rsidP="00000000" w:rsidRDefault="00000000" w:rsidRPr="00000000" w14:paraId="0000011B">
      <w:pPr>
        <w:ind w:left="720" w:firstLine="0"/>
        <w:jc w:val="both"/>
        <w:rPr/>
      </w:pPr>
      <w:r w:rsidDel="00000000" w:rsidR="00000000" w:rsidRPr="00000000">
        <w:rPr>
          <w:rtl w:val="0"/>
        </w:rPr>
      </w:r>
    </w:p>
    <w:p w:rsidR="00000000" w:rsidDel="00000000" w:rsidP="00000000" w:rsidRDefault="00000000" w:rsidRPr="00000000" w14:paraId="0000011C">
      <w:pPr>
        <w:numPr>
          <w:ilvl w:val="0"/>
          <w:numId w:val="4"/>
        </w:numPr>
        <w:ind w:left="720" w:hanging="360"/>
        <w:jc w:val="both"/>
        <w:rPr>
          <w:b w:val="1"/>
        </w:rPr>
      </w:pPr>
      <w:r w:rsidDel="00000000" w:rsidR="00000000" w:rsidRPr="00000000">
        <w:rPr>
          <w:b w:val="1"/>
          <w:rtl w:val="0"/>
        </w:rPr>
        <w:t xml:space="preserve">Aplicación del Modelo de Ridge Regression: </w:t>
      </w:r>
      <w:r w:rsidDel="00000000" w:rsidR="00000000" w:rsidRPr="00000000">
        <w:rPr>
          <w:rtl w:val="0"/>
        </w:rPr>
        <w:t xml:space="preserve">Utilizamos Ridge Regression, una técnica de regresión que incorpora una penalización a los coeficientes del modelo para evitar el sobreajuste.</w:t>
      </w: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numPr>
          <w:ilvl w:val="0"/>
          <w:numId w:val="11"/>
        </w:numPr>
        <w:ind w:left="1440" w:hanging="360"/>
        <w:rPr>
          <w:b w:val="1"/>
          <w:u w:val="none"/>
        </w:rPr>
      </w:pPr>
      <w:r w:rsidDel="00000000" w:rsidR="00000000" w:rsidRPr="00000000">
        <w:rPr>
          <w:b w:val="1"/>
          <w:rtl w:val="0"/>
        </w:rPr>
        <w:t xml:space="preserve">Price (euro/m2): </w:t>
      </w:r>
    </w:p>
    <w:p w:rsidR="00000000" w:rsidDel="00000000" w:rsidP="00000000" w:rsidRDefault="00000000" w:rsidRPr="00000000" w14:paraId="0000011F">
      <w:pPr>
        <w:numPr>
          <w:ilvl w:val="1"/>
          <w:numId w:val="11"/>
        </w:numPr>
        <w:ind w:left="2160" w:hanging="360"/>
        <w:rPr>
          <w:b w:val="1"/>
          <w:u w:val="none"/>
        </w:rPr>
      </w:pPr>
      <w:r w:rsidDel="00000000" w:rsidR="00000000" w:rsidRPr="00000000">
        <w:rPr>
          <w:b w:val="1"/>
          <w:rtl w:val="0"/>
        </w:rPr>
        <w:t xml:space="preserve">MAE: </w:t>
      </w:r>
      <w:r w:rsidDel="00000000" w:rsidR="00000000" w:rsidRPr="00000000">
        <w:rPr>
          <w:rtl w:val="0"/>
        </w:rPr>
        <w:t xml:space="preserve">0.4594534772448738, </w:t>
      </w:r>
    </w:p>
    <w:p w:rsidR="00000000" w:rsidDel="00000000" w:rsidP="00000000" w:rsidRDefault="00000000" w:rsidRPr="00000000" w14:paraId="00000120">
      <w:pPr>
        <w:numPr>
          <w:ilvl w:val="1"/>
          <w:numId w:val="11"/>
        </w:numPr>
        <w:ind w:left="2160" w:hanging="360"/>
        <w:rPr>
          <w:b w:val="1"/>
          <w:u w:val="none"/>
        </w:rPr>
      </w:pPr>
      <w:r w:rsidDel="00000000" w:rsidR="00000000" w:rsidRPr="00000000">
        <w:rPr>
          <w:b w:val="1"/>
          <w:rtl w:val="0"/>
        </w:rPr>
        <w:t xml:space="preserve">MSE:</w:t>
      </w:r>
      <w:r w:rsidDel="00000000" w:rsidR="00000000" w:rsidRPr="00000000">
        <w:rPr>
          <w:rtl w:val="0"/>
        </w:rPr>
        <w:t xml:space="preserve"> 0.36858901136417416, </w:t>
      </w:r>
    </w:p>
    <w:p w:rsidR="00000000" w:rsidDel="00000000" w:rsidP="00000000" w:rsidRDefault="00000000" w:rsidRPr="00000000" w14:paraId="00000121">
      <w:pPr>
        <w:numPr>
          <w:ilvl w:val="1"/>
          <w:numId w:val="11"/>
        </w:numPr>
        <w:ind w:left="2160" w:hanging="360"/>
        <w:rPr>
          <w:b w:val="1"/>
          <w:u w:val="none"/>
        </w:rPr>
      </w:pPr>
      <w:r w:rsidDel="00000000" w:rsidR="00000000" w:rsidRPr="00000000">
        <w:rPr>
          <w:b w:val="1"/>
          <w:rtl w:val="0"/>
        </w:rPr>
        <w:t xml:space="preserve">RMSE:</w:t>
      </w:r>
      <w:r w:rsidDel="00000000" w:rsidR="00000000" w:rsidRPr="00000000">
        <w:rPr>
          <w:rtl w:val="0"/>
        </w:rPr>
        <w:t xml:space="preserve"> 0.6071153196586083, </w:t>
      </w:r>
    </w:p>
    <w:p w:rsidR="00000000" w:rsidDel="00000000" w:rsidP="00000000" w:rsidRDefault="00000000" w:rsidRPr="00000000" w14:paraId="00000122">
      <w:pPr>
        <w:numPr>
          <w:ilvl w:val="1"/>
          <w:numId w:val="11"/>
        </w:numPr>
        <w:ind w:left="2160" w:hanging="360"/>
        <w:rPr>
          <w:b w:val="1"/>
          <w:u w:val="none"/>
        </w:rPr>
      </w:pPr>
      <w:r w:rsidDel="00000000" w:rsidR="00000000" w:rsidRPr="00000000">
        <w:rPr>
          <w:b w:val="1"/>
          <w:rtl w:val="0"/>
        </w:rPr>
        <w:t xml:space="preserve">R²:</w:t>
      </w:r>
      <w:r w:rsidDel="00000000" w:rsidR="00000000" w:rsidRPr="00000000">
        <w:rPr>
          <w:rtl w:val="0"/>
        </w:rPr>
        <w:t xml:space="preserve"> 0.9440063761832949 </w:t>
      </w:r>
    </w:p>
    <w:p w:rsidR="00000000" w:rsidDel="00000000" w:rsidP="00000000" w:rsidRDefault="00000000" w:rsidRPr="00000000" w14:paraId="00000123">
      <w:pPr>
        <w:ind w:left="2160" w:firstLine="0"/>
        <w:rPr/>
      </w:pPr>
      <w:r w:rsidDel="00000000" w:rsidR="00000000" w:rsidRPr="00000000">
        <w:rPr>
          <w:rtl w:val="0"/>
        </w:rPr>
      </w:r>
    </w:p>
    <w:p w:rsidR="00000000" w:rsidDel="00000000" w:rsidP="00000000" w:rsidRDefault="00000000" w:rsidRPr="00000000" w14:paraId="00000124">
      <w:pPr>
        <w:numPr>
          <w:ilvl w:val="1"/>
          <w:numId w:val="11"/>
        </w:numPr>
        <w:ind w:left="2160" w:hanging="360"/>
        <w:rPr>
          <w:b w:val="1"/>
          <w:u w:val="none"/>
        </w:rPr>
      </w:pPr>
      <w:r w:rsidDel="00000000" w:rsidR="00000000" w:rsidRPr="00000000">
        <w:rPr>
          <w:b w:val="1"/>
          <w:rtl w:val="0"/>
        </w:rPr>
        <w:t xml:space="preserve">Validación cruzada R²:</w:t>
      </w:r>
      <w:r w:rsidDel="00000000" w:rsidR="00000000" w:rsidRPr="00000000">
        <w:rPr>
          <w:rtl w:val="0"/>
        </w:rPr>
        <w:t xml:space="preserve"> 0.9257207163008297, 0.00921761638 814432</w:t>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numPr>
          <w:ilvl w:val="0"/>
          <w:numId w:val="15"/>
        </w:numPr>
        <w:ind w:left="1440" w:hanging="360"/>
        <w:rPr>
          <w:b w:val="1"/>
          <w:u w:val="none"/>
        </w:rPr>
      </w:pPr>
      <w:r w:rsidDel="00000000" w:rsidR="00000000" w:rsidRPr="00000000">
        <w:rPr>
          <w:b w:val="1"/>
          <w:rtl w:val="0"/>
        </w:rPr>
        <w:t xml:space="preserve">Price (euro/month):</w:t>
      </w:r>
    </w:p>
    <w:p w:rsidR="00000000" w:rsidDel="00000000" w:rsidP="00000000" w:rsidRDefault="00000000" w:rsidRPr="00000000" w14:paraId="00000127">
      <w:pPr>
        <w:numPr>
          <w:ilvl w:val="1"/>
          <w:numId w:val="15"/>
        </w:numPr>
        <w:ind w:left="2160" w:hanging="360"/>
        <w:rPr>
          <w:b w:val="1"/>
          <w:u w:val="none"/>
        </w:rPr>
      </w:pPr>
      <w:r w:rsidDel="00000000" w:rsidR="00000000" w:rsidRPr="00000000">
        <w:rPr>
          <w:b w:val="1"/>
          <w:rtl w:val="0"/>
        </w:rPr>
        <w:t xml:space="preserve">MAE:</w:t>
      </w:r>
      <w:r w:rsidDel="00000000" w:rsidR="00000000" w:rsidRPr="00000000">
        <w:rPr>
          <w:rtl w:val="0"/>
        </w:rPr>
        <w:t xml:space="preserve"> 48.995374177329715, </w:t>
      </w:r>
    </w:p>
    <w:p w:rsidR="00000000" w:rsidDel="00000000" w:rsidP="00000000" w:rsidRDefault="00000000" w:rsidRPr="00000000" w14:paraId="00000128">
      <w:pPr>
        <w:numPr>
          <w:ilvl w:val="1"/>
          <w:numId w:val="15"/>
        </w:numPr>
        <w:ind w:left="2160" w:hanging="360"/>
        <w:rPr>
          <w:b w:val="1"/>
          <w:u w:val="none"/>
        </w:rPr>
      </w:pPr>
      <w:r w:rsidDel="00000000" w:rsidR="00000000" w:rsidRPr="00000000">
        <w:rPr>
          <w:b w:val="1"/>
          <w:rtl w:val="0"/>
        </w:rPr>
        <w:t xml:space="preserve">MSE:</w:t>
      </w:r>
      <w:r w:rsidDel="00000000" w:rsidR="00000000" w:rsidRPr="00000000">
        <w:rPr>
          <w:rtl w:val="0"/>
        </w:rPr>
        <w:t xml:space="preserve"> 4430.829879621476,</w:t>
      </w:r>
    </w:p>
    <w:p w:rsidR="00000000" w:rsidDel="00000000" w:rsidP="00000000" w:rsidRDefault="00000000" w:rsidRPr="00000000" w14:paraId="00000129">
      <w:pPr>
        <w:numPr>
          <w:ilvl w:val="1"/>
          <w:numId w:val="15"/>
        </w:numPr>
        <w:ind w:left="2160" w:hanging="360"/>
        <w:rPr>
          <w:b w:val="1"/>
          <w:u w:val="none"/>
        </w:rPr>
      </w:pPr>
      <w:r w:rsidDel="00000000" w:rsidR="00000000" w:rsidRPr="00000000">
        <w:rPr>
          <w:b w:val="1"/>
          <w:rtl w:val="0"/>
        </w:rPr>
        <w:t xml:space="preserve">RMSE:</w:t>
      </w:r>
      <w:r w:rsidDel="00000000" w:rsidR="00000000" w:rsidRPr="00000000">
        <w:rPr>
          <w:rtl w:val="0"/>
        </w:rPr>
        <w:t xml:space="preserve"> 66.56447911327389, </w:t>
      </w:r>
    </w:p>
    <w:p w:rsidR="00000000" w:rsidDel="00000000" w:rsidP="00000000" w:rsidRDefault="00000000" w:rsidRPr="00000000" w14:paraId="0000012A">
      <w:pPr>
        <w:numPr>
          <w:ilvl w:val="1"/>
          <w:numId w:val="15"/>
        </w:numPr>
        <w:ind w:left="2160" w:hanging="360"/>
        <w:rPr>
          <w:b w:val="1"/>
          <w:u w:val="none"/>
        </w:rPr>
      </w:pPr>
      <w:r w:rsidDel="00000000" w:rsidR="00000000" w:rsidRPr="00000000">
        <w:rPr>
          <w:b w:val="1"/>
          <w:rtl w:val="0"/>
        </w:rPr>
        <w:t xml:space="preserve">R²:</w:t>
      </w:r>
      <w:r w:rsidDel="00000000" w:rsidR="00000000" w:rsidRPr="00000000">
        <w:rPr>
          <w:rtl w:val="0"/>
        </w:rPr>
        <w:t xml:space="preserve"> 0.9002916859612925 </w:t>
      </w:r>
    </w:p>
    <w:p w:rsidR="00000000" w:rsidDel="00000000" w:rsidP="00000000" w:rsidRDefault="00000000" w:rsidRPr="00000000" w14:paraId="0000012B">
      <w:pPr>
        <w:ind w:left="2160" w:firstLine="0"/>
        <w:rPr/>
      </w:pPr>
      <w:r w:rsidDel="00000000" w:rsidR="00000000" w:rsidRPr="00000000">
        <w:rPr>
          <w:rtl w:val="0"/>
        </w:rPr>
      </w:r>
    </w:p>
    <w:p w:rsidR="00000000" w:rsidDel="00000000" w:rsidP="00000000" w:rsidRDefault="00000000" w:rsidRPr="00000000" w14:paraId="0000012C">
      <w:pPr>
        <w:numPr>
          <w:ilvl w:val="1"/>
          <w:numId w:val="15"/>
        </w:numPr>
        <w:ind w:left="2160" w:hanging="360"/>
        <w:rPr>
          <w:b w:val="1"/>
          <w:u w:val="none"/>
        </w:rPr>
      </w:pPr>
      <w:r w:rsidDel="00000000" w:rsidR="00000000" w:rsidRPr="00000000">
        <w:rPr>
          <w:b w:val="1"/>
          <w:rtl w:val="0"/>
        </w:rPr>
        <w:t xml:space="preserve">Validación cruzada R²</w:t>
      </w:r>
      <w:r w:rsidDel="00000000" w:rsidR="00000000" w:rsidRPr="00000000">
        <w:rPr>
          <w:rtl w:val="0"/>
        </w:rPr>
        <w:t xml:space="preserve">: 0.8939557056686407, 0.01112776 1580973701</w:t>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0" w:firstLine="0"/>
        <w:jc w:val="both"/>
        <w:rPr/>
      </w:pPr>
      <w:r w:rsidDel="00000000" w:rsidR="00000000" w:rsidRPr="00000000">
        <w:rPr>
          <w:b w:val="1"/>
          <w:rtl w:val="0"/>
        </w:rPr>
        <w:t xml:space="preserve">Modelo seleccionado:</w:t>
      </w:r>
      <w:r w:rsidDel="00000000" w:rsidR="00000000" w:rsidRPr="00000000">
        <w:rPr>
          <w:rtl w:val="0"/>
        </w:rPr>
        <w:t xml:space="preserve"> Los modelos anteriores no pudieron capturar adecuadamente las variaciones de precios durante la pandemia, lo que resultó en predicciones planas a futuro. Para mejorar la precisión, se reconstruyó el dataset mediante feature engineering y se utilizó Ridge Regression para ajustar el modelo a las condiciones excepcionales del período 2020-2022. Esto ayudará a obtener proyecciones más precisas y ajustadas a las realidades del mercado actual.</w:t>
      </w:r>
    </w:p>
    <w:p w:rsidR="00000000" w:rsidDel="00000000" w:rsidP="00000000" w:rsidRDefault="00000000" w:rsidRPr="00000000" w14:paraId="00000130">
      <w:pPr>
        <w:ind w:left="0" w:firstLine="0"/>
        <w:jc w:val="both"/>
        <w:rPr/>
      </w:pPr>
      <w:r w:rsidDel="00000000" w:rsidR="00000000" w:rsidRPr="00000000">
        <w:rPr>
          <w:rtl w:val="0"/>
        </w:rPr>
      </w:r>
    </w:p>
    <w:p w:rsidR="00000000" w:rsidDel="00000000" w:rsidP="00000000" w:rsidRDefault="00000000" w:rsidRPr="00000000" w14:paraId="00000131">
      <w:pPr>
        <w:ind w:left="0" w:firstLine="0"/>
        <w:jc w:val="both"/>
        <w:rPr/>
      </w:pPr>
      <w:r w:rsidDel="00000000" w:rsidR="00000000" w:rsidRPr="00000000">
        <w:rPr>
          <w:rtl w:val="0"/>
        </w:rPr>
      </w:r>
    </w:p>
    <w:p w:rsidR="00000000" w:rsidDel="00000000" w:rsidP="00000000" w:rsidRDefault="00000000" w:rsidRPr="00000000" w14:paraId="00000132">
      <w:pPr>
        <w:pStyle w:val="Heading3"/>
        <w:numPr>
          <w:ilvl w:val="0"/>
          <w:numId w:val="2"/>
        </w:numPr>
        <w:ind w:left="720" w:hanging="360"/>
        <w:rPr/>
      </w:pPr>
      <w:bookmarkStart w:colFirst="0" w:colLast="0" w:name="_5ovlmf82wzfp" w:id="47"/>
      <w:bookmarkEnd w:id="47"/>
      <w:r w:rsidDel="00000000" w:rsidR="00000000" w:rsidRPr="00000000">
        <w:rPr>
          <w:rtl w:val="0"/>
        </w:rPr>
        <w:t xml:space="preserve"> Predicción:</w:t>
      </w:r>
    </w:p>
    <w:p w:rsidR="00000000" w:rsidDel="00000000" w:rsidP="00000000" w:rsidRDefault="00000000" w:rsidRPr="00000000" w14:paraId="00000133">
      <w:pPr>
        <w:pStyle w:val="Heading3"/>
        <w:ind w:left="720" w:firstLine="0"/>
        <w:rPr/>
      </w:pPr>
      <w:bookmarkStart w:colFirst="0" w:colLast="0" w:name="_dw9km9lrzc4s" w:id="48"/>
      <w:bookmarkEnd w:id="4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130924</wp:posOffset>
            </wp:positionV>
            <wp:extent cx="4866928" cy="2916986"/>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866928" cy="2916986"/>
                    </a:xfrm>
                    <a:prstGeom prst="rect"/>
                    <a:ln/>
                  </pic:spPr>
                </pic:pic>
              </a:graphicData>
            </a:graphic>
          </wp:anchor>
        </w:drawing>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drawing>
          <wp:inline distB="114300" distT="114300" distL="114300" distR="114300">
            <wp:extent cx="5943600" cy="2781300"/>
            <wp:effectExtent b="0" l="0" r="0" t="0"/>
            <wp:docPr id="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pStyle w:val="Heading3"/>
        <w:numPr>
          <w:ilvl w:val="0"/>
          <w:numId w:val="2"/>
        </w:numPr>
        <w:ind w:left="720" w:hanging="360"/>
        <w:jc w:val="both"/>
        <w:rPr>
          <w:u w:val="none"/>
        </w:rPr>
      </w:pPr>
      <w:bookmarkStart w:colFirst="0" w:colLast="0" w:name="_l3ukfh469hta" w:id="49"/>
      <w:bookmarkEnd w:id="49"/>
      <w:r w:rsidDel="00000000" w:rsidR="00000000" w:rsidRPr="00000000">
        <w:rPr>
          <w:rtl w:val="0"/>
        </w:rPr>
        <w:t xml:space="preserve">Conclusiones e Inferencias sobre el Mercado de Alquiler en Barcelona</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b w:val="1"/>
          <w:rtl w:val="0"/>
        </w:rPr>
        <w:t xml:space="preserve">1. Tendencias Generales del Mercado</w:t>
      </w: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t xml:space="preserve">Aumento Sostenido de los Precios: Desde 2014 hasta 2026, se observa una tendencia ascendente constante en los precios de alquiler por metro cuadrado y por mes. Esto refleja un crecimiento sostenido en el mercado inmobiliario de Barcelona.</w:t>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t xml:space="preserve">Impacto de la Pandemia: Aunque hubo una ligera desaceleración en 2020 y 2021, los precios volvieron a aumentar, indicando una rápida recuperación del mercado tras la pandemia.</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b w:val="1"/>
          <w:rtl w:val="0"/>
        </w:rPr>
        <w:t xml:space="preserve">2. Diferencias por Distritos</w:t>
      </w: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t xml:space="preserve">Disparidades entre Distritos: Distritos como Ciutat Vella y Sarrià-Sant Gervasi presentan precios significativamente más altos en comparación con distritos como Nou Barris y Sant Andreu. Esto puede deberse a factores como la localización, la oferta de servicios, y la demanda turística.</w:t>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t xml:space="preserve">Influencia del Turismo: Áreas con alta afluencia turística, como Ciutat Vella, tienden a tener precios más elevados, posiblemente debido a la presencia de pisos turísticos que influyen en el mercado de alquiler residencial.</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b w:val="1"/>
        </w:rPr>
      </w:pPr>
      <w:r w:rsidDel="00000000" w:rsidR="00000000" w:rsidRPr="00000000">
        <w:rPr>
          <w:b w:val="1"/>
          <w:rtl w:val="0"/>
        </w:rPr>
        <w:t xml:space="preserve">3. Posibles Factores de Influencia</w:t>
      </w:r>
    </w:p>
    <w:p w:rsidR="00000000" w:rsidDel="00000000" w:rsidP="00000000" w:rsidRDefault="00000000" w:rsidRPr="00000000" w14:paraId="00000152">
      <w:pPr>
        <w:jc w:val="both"/>
        <w:rPr/>
      </w:pPr>
      <w:r w:rsidDel="00000000" w:rsidR="00000000" w:rsidRPr="00000000">
        <w:rPr>
          <w:rtl w:val="0"/>
        </w:rPr>
        <w:t xml:space="preserve">Licencias Turísticas: La alta concentración de pisos turísticos puede estar elevando los precios de alquiler en ciertos distritos, reduciendo la oferta de viviendas disponibles para alquiler residencial.</w:t>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t xml:space="preserve">Seguridad Jurídica y Ocupación: La percepción de seguridad jurídica y la incidencia de ocupaciones ilegales pueden influir en la disposición de los propietarios a alquilar sus propiedades, afectando la oferta y, por ende, los precios.</w:t>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t xml:space="preserve">Tasas de Interés Hipotecarias: Un aumento en las tasas de interés hipotecarias podría desincentivar la compra de viviendas, aumentando la demanda de alquiler y, consecuentemente, los precios.</w:t>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b w:val="1"/>
        </w:rPr>
      </w:pPr>
      <w:r w:rsidDel="00000000" w:rsidR="00000000" w:rsidRPr="00000000">
        <w:rPr>
          <w:b w:val="1"/>
          <w:rtl w:val="0"/>
        </w:rPr>
        <w:t xml:space="preserve">4. Predicciones Futuras</w:t>
      </w:r>
    </w:p>
    <w:p w:rsidR="00000000" w:rsidDel="00000000" w:rsidP="00000000" w:rsidRDefault="00000000" w:rsidRPr="00000000" w14:paraId="00000159">
      <w:pPr>
        <w:jc w:val="both"/>
        <w:rPr/>
      </w:pPr>
      <w:r w:rsidDel="00000000" w:rsidR="00000000" w:rsidRPr="00000000">
        <w:rPr>
          <w:rtl w:val="0"/>
        </w:rPr>
        <w:t xml:space="preserve">Proyección de Aumento: Las predicciones para los años 2023 a 2026 sugieren que los precios de alquiler continuarán aumentando, con una media estimada de alrededor de 19 euros/m2 para 2026.</w:t>
      </w:r>
    </w:p>
    <w:p w:rsidR="00000000" w:rsidDel="00000000" w:rsidP="00000000" w:rsidRDefault="00000000" w:rsidRPr="00000000" w14:paraId="0000015A">
      <w:pPr>
        <w:jc w:val="both"/>
        <w:rPr/>
      </w:pPr>
      <w:r w:rsidDel="00000000" w:rsidR="00000000" w:rsidRPr="00000000">
        <w:rPr>
          <w:rtl w:val="0"/>
        </w:rPr>
        <w:t xml:space="preserve">Inversión en Nuevas Áreas: Los distritos con precios más bajos pueden atraer inversiones futuras, lo que podría equilibrar la disparidad en los precios entre diferentes áreas de la ciudad.</w:t>
      </w:r>
    </w:p>
    <w:p w:rsidR="00000000" w:rsidDel="00000000" w:rsidP="00000000" w:rsidRDefault="00000000" w:rsidRPr="00000000" w14:paraId="0000015B">
      <w:pPr>
        <w:jc w:val="both"/>
        <w:rPr/>
      </w:pPr>
      <w:r w:rsidDel="00000000" w:rsidR="00000000" w:rsidRPr="00000000">
        <w:rPr>
          <w:rtl w:val="0"/>
        </w:rPr>
        <w:t xml:space="preserve">Recomendaciones</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Monitoreo Continuo del Mercado: Es crucial seguir monitorizando los datos del mercado de alquiler para identificar cambios en las tendencias y posibles factores disruptivos.</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t xml:space="preserve">Políticas de Regulación: Implementar políticas que regulen los pisos turísticos y promuevan la oferta de alquiler residencial puede ayudar a estabilizar los precios en distritos con alta demanda turística.</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Incentivos para la Vivienda Asequible: Crear incentivos para la construcción y oferta de viviendas asequibles en distritos con precios elevados puede equilibrar la demanda y oferta en el mercado de alquiler.</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t xml:space="preserve">Análisis de Factores Externos: Continuar analizando cómo factores externos, como las tasas de interés y la seguridad jurídica, afectan el mercado de alquiler puede proporcionar insights valiosos para futuras estrategias.</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Rule="auto"/>
      <w:jc w:val="both"/>
    </w:pPr>
    <w:rPr>
      <w:b w:val="1"/>
      <w:sz w:val="26"/>
      <w:szCs w:val="26"/>
    </w:rPr>
  </w:style>
  <w:style w:type="paragraph" w:styleId="Heading4">
    <w:name w:val="heading 4"/>
    <w:basedOn w:val="Normal"/>
    <w:next w:val="Normal"/>
    <w:pPr>
      <w:keepNext w:val="1"/>
      <w:keepLines w:val="1"/>
      <w:spacing w:after="40" w:before="240" w:lineRule="auto"/>
      <w:ind w:left="720" w:hanging="360"/>
      <w:jc w:val="both"/>
    </w:pPr>
    <w:rPr>
      <w:b w:val="1"/>
    </w:rPr>
  </w:style>
  <w:style w:type="paragraph" w:styleId="Heading5">
    <w:name w:val="heading 5"/>
    <w:basedOn w:val="Normal"/>
    <w:next w:val="Normal"/>
    <w:pPr>
      <w:keepNext w:val="1"/>
      <w:keepLines w:val="1"/>
      <w:spacing w:after="80" w:before="240" w:lineRule="auto"/>
      <w:ind w:left="1440" w:hanging="360"/>
    </w:pPr>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1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