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The Agent as the User Interface</w:t>
      </w:r>
    </w:p>
    <w:p>
      <w:pPr>
        <w:jc w:val="left"/>
      </w:pPr>
      <w:r>
        <w:rPr>
          <w:b/>
          <w:sz w:val="26"/>
        </w:rPr>
        <w:t>A position paper on AutoScribe, writer/editors, and the 80-percenter</w:t>
      </w:r>
    </w:p>
    <w:p>
      <w:pPr>
        <w:jc w:val="left"/>
      </w:pPr>
      <w:r>
        <w:rPr>
          <w:i/>
          <w:sz w:val="19"/>
        </w:rPr>
        <w:t>Position paper | 30 August 2026</w:t>
      </w:r>
    </w:p>
    <w:tbl>
      <w:tblPr>
        <w:tblW w:type="auto" w:w="0"/>
        <w:jc w:val="center"/>
        <w:tblLayout w:type="autofit"/>
        <w:tblLook w:firstColumn="1" w:firstRow="1" w:lastColumn="0" w:lastRow="0" w:noHBand="0" w:noVBand="1" w:val="04A0"/>
      </w:tblPr>
      <w:tblGrid>
        <w:gridCol w:w="9706"/>
      </w:tblGrid>
      <w:tr>
        <w:tc>
          <w:tcPr>
            <w:tcW w:type="dxa" w:w="9706"/>
            <w:vAlign w:val="center"/>
            <w:shd w:fill="F2F2F2"/>
          </w:tcPr>
          <w:p>
            <w:pPr>
              <w:spacing w:after="0"/>
            </w:pPr>
            <w:r>
              <w:rPr>
                <w:b/>
              </w:rPr>
              <w:t>Thesis. AutoScribe's most promising user interface is not a conventional dashboard and not an open-ended chatbot. It is a persistent editorial agent that translates ordinary professional intent into durable, versioned, inspectable configuration and then presents the human with only the decisions that require human judgment.</w:t>
            </w:r>
          </w:p>
        </w:tc>
      </w:tr>
    </w:tbl>
    <w:p/>
    <w:p>
      <w:pPr>
        <w:pStyle w:val="Heading1"/>
      </w:pPr>
      <w:r>
        <w:t>1. Position</w:t>
      </w:r>
    </w:p>
    <w:p>
      <w:r>
        <w:t>AutoScribe should treat the conversational agent as the primary semantic interface between a writer/editor and the production system. The agent's job is to understand what the human is trying to accomplish, retrieve the durable context that governs the work, select or construct the appropriate plan, instructions, scripts, and checks, and hand a validated configuration to the deterministic execution layer.</w:t>
      </w:r>
    </w:p>
    <w:p>
      <w:r>
        <w:t>This is a stronger proposition than adding chat to an existing application. It reverses the conventional relationship between interface and system. The human should not be asked to learn the system's ontology in order to operate it. The agent should learn the user's professional language and compile that language into the system's ontology.</w:t>
      </w:r>
    </w:p>
    <w:p>
      <w:r>
        <w:t>The human-facing nouns can therefore remain ordinary: document, passage, source, fact, problem, plan, review, version, result. Instructions, component stacks, retrieval profiles, runtime records, Git refs, Redis keys, and validation scripts remain implementation detail unless the user explicitly wants to inspect them.</w:t>
      </w:r>
    </w:p>
    <w:p>
      <w:pPr>
        <w:pStyle w:val="Heading1"/>
      </w:pPr>
      <w:r>
        <w:t>2. Why this matters for writer/editors</w:t>
      </w:r>
    </w:p>
    <w:p>
      <w:r>
        <w:t>The editorial users we have been designing for are not prompt engineers. They are people with subject knowledge, local access, language ability, editorial judgment, or some combination of these. The system succeeds when it amplifies those capabilities without making the user acquire a second profession.</w:t>
      </w:r>
    </w:p>
    <w:p>
      <w:r>
        <w:t>That is especially important for the '80-percenter': the regional writer/editor whose English and editorial competence are already strong enough to produce useful international-facing work, judge whether a result is faithful and sensible, and resolve most local questions, but who should not have to reproduce the last 20 percent of native-market idiom, specialist checking, or systems expertise on every job.</w:t>
      </w:r>
    </w:p>
    <w:p>
      <w:r>
        <w:t>The 80-percenter is not a deficient native copywriter. The role is different. It is the economically important middle layer between raw local contribution and expensive top-end editorial expertise. AutoScribe should make that layer more productive by concentrating scarce specialist attention only where it adds value.</w:t>
      </w:r>
    </w:p>
    <w:p>
      <w:pPr>
        <w:pStyle w:val="Heading2"/>
      </w:pPr>
      <w:r>
        <w:t>The broader editorial ladder</w:t>
      </w:r>
    </w:p>
    <w:p>
      <w:pPr>
        <w:pStyle w:val="ListBullet"/>
        <w:spacing w:after="60"/>
      </w:pPr>
      <w:r>
        <w:t>Field contributor or local researcher: supplies access, facts, interviews, photographs, practical updates, and local verification. English may be limited; local knowledge is the scarce asset.</w:t>
      </w:r>
    </w:p>
    <w:p>
      <w:pPr>
        <w:pStyle w:val="ListBullet"/>
        <w:spacing w:after="60"/>
      </w:pPr>
      <w:r>
        <w:t>Regional 80-percenter: turns material into competent international-facing content, makes ordinary editorial judgments, verifies meaning and facts, and owns the working relationship with the client or subject.</w:t>
      </w:r>
    </w:p>
    <w:p>
      <w:pPr>
        <w:pStyle w:val="ListBullet"/>
        <w:spacing w:after="60"/>
      </w:pPr>
      <w:r>
        <w:t>Senior editor or orchestrator: defines standards, handles ambiguity and exceptions, audits quality, trains contributors, and decides where human or AI effort is worth spending.</w:t>
      </w:r>
    </w:p>
    <w:p>
      <w:pPr>
        <w:pStyle w:val="ListBullet"/>
        <w:spacing w:after="60"/>
      </w:pPr>
      <w:r>
        <w:t>Native-speaking or specialist reviewer: intervenes selectively on flagged passages involving register, idiom, specialist terminology, legal or reputational risk, or market-specific rhythm.</w:t>
      </w:r>
    </w:p>
    <w:p>
      <w:r>
        <w:t>The agent interface should look different to each tier, even if the back end is the same. A field contributor may mostly answer concrete questions and upload evidence. An 80-percenter may select a plan, explain what needs changing, review highlighted uncertainties, and approve a result. A senior editor may inspect provenance, compare plans, audit exceptions, and promote successful local patterns into reusable controls.</w:t>
      </w:r>
    </w:p>
    <w:p>
      <w:pPr>
        <w:pStyle w:val="Heading1"/>
      </w:pPr>
      <w:r>
        <w:t>3. The crucial architectural distinction: agent as compiler, not pipeline</w:t>
      </w:r>
    </w:p>
    <w:p>
      <w:r>
        <w:t>The model should not be entrusted with being the entire production system. Its strongest role is semantic translation: converting human intent and contextual knowledge into structured, inspectable actions. The execution engine should remain deterministic wherever determinism is available.</w:t>
      </w:r>
    </w:p>
    <w:p>
      <w:r>
        <w:t>A useful analogy is a compiler. The writer/editor speaks in professional intent: 'Make this less repetitive, preserve the quotations, check the financial terminology, and do not flatten the speaker's voice.' The agent compiles that request into a plan assembled from known components, adds task-specific instructions where needed, creates a script only if a deterministic operation is justified, validates the resulting configuration, and presents the user with a comprehensible description of what will happen.</w:t>
      </w:r>
    </w:p>
    <w:p>
      <w:r>
        <w:t>The value of this arrangement is not merely convenience. It provides a boundary between a probabilistic reasoning system and a reproducible production system. The model can be creative in understanding the assignment while the machinery remains strict about what was dispatched, what sources were used, what steps ran, what result was produced, and what was written back.</w:t>
      </w:r>
    </w:p>
    <w:p>
      <w:pPr>
        <w:pStyle w:val="Heading1"/>
      </w:pPr>
      <w:r>
        <w:t>4. Memory is not an optional feature</w:t>
      </w:r>
    </w:p>
    <w:p>
      <w:r>
        <w:t>The largest practical weakness of a conversational model as a professional interface is state continuity. A model can reason well inside a rich context and still become frustrating when a foundational project decision has to be explained again. More intelligence does not solve that problem by itself. A professional agent requires an external, durable memory layer that it is required to consult.</w:t>
      </w:r>
    </w:p>
    <w:p>
      <w:r>
        <w:t>The system should maintain four distinct forms of state, because collapsing them into chat history creates exactly the short-term-memory problem we want to avoid:</w:t>
      </w:r>
    </w:p>
    <w:tbl>
      <w:tblPr>
        <w:tblStyle w:val="TableGrid"/>
        <w:tblW w:type="auto" w:w="0"/>
        <w:jc w:val="center"/>
        <w:tblLook w:firstColumn="1" w:firstRow="1" w:lastColumn="0" w:lastRow="0" w:noHBand="0" w:noVBand="1" w:val="04A0"/>
      </w:tblPr>
      <w:tblGrid>
        <w:gridCol w:w="4853"/>
        <w:gridCol w:w="4853"/>
      </w:tblGrid>
      <w:tr>
        <w:tc>
          <w:tcPr>
            <w:tcW w:type="dxa" w:w="4853"/>
          </w:tcPr>
          <w:p>
            <w:r>
              <w:t>Layer</w:t>
            </w:r>
          </w:p>
        </w:tc>
        <w:tc>
          <w:tcPr>
            <w:tcW w:type="dxa" w:w="4853"/>
          </w:tcPr>
          <w:p>
            <w:r>
              <w:t>Purpose</w:t>
            </w:r>
          </w:p>
        </w:tc>
      </w:tr>
      <w:tr>
        <w:tc>
          <w:tcPr>
            <w:tcW w:type="dxa" w:w="4853"/>
          </w:tcPr>
          <w:p>
            <w:r>
              <w:t>Conversation</w:t>
            </w:r>
          </w:p>
        </w:tc>
        <w:tc>
          <w:tcPr>
            <w:tcW w:type="dxa" w:w="4853"/>
          </w:tcPr>
          <w:p>
            <w:r>
              <w:t>What was said, including exploration, discarded ideas, jokes, ambiguity, and provisional thinking.</w:t>
            </w:r>
          </w:p>
        </w:tc>
      </w:tr>
      <w:tr>
        <w:tc>
          <w:tcPr>
            <w:tcW w:type="dxa" w:w="4853"/>
          </w:tcPr>
          <w:p>
            <w:r>
              <w:t>Durable memory</w:t>
            </w:r>
          </w:p>
        </w:tc>
        <w:tc>
          <w:tcPr>
            <w:tcW w:type="dxa" w:w="4853"/>
          </w:tcPr>
          <w:p>
            <w:r>
              <w:t>What remains true: user preferences, project facts, settled decisions, terminology, prohibitions, trusted sources, unresolved questions, and scope.</w:t>
            </w:r>
          </w:p>
        </w:tc>
      </w:tr>
      <w:tr>
        <w:tc>
          <w:tcPr>
            <w:tcW w:type="dxa" w:w="4853"/>
          </w:tcPr>
          <w:p>
            <w:r>
              <w:t>Control/configuration</w:t>
            </w:r>
          </w:p>
        </w:tc>
        <w:tc>
          <w:tcPr>
            <w:tcW w:type="dxa" w:w="4853"/>
          </w:tcPr>
          <w:p>
            <w:r>
              <w:t>What the system should do: approved plans, instructions, scripts, profiles, inheritance, permissions, and versions.</w:t>
            </w:r>
          </w:p>
        </w:tc>
      </w:tr>
      <w:tr>
        <w:tc>
          <w:tcPr>
            <w:tcW w:type="dxa" w:w="4853"/>
          </w:tcPr>
          <w:p>
            <w:r>
              <w:t>Execution record</w:t>
            </w:r>
          </w:p>
        </w:tc>
        <w:tc>
          <w:tcPr>
            <w:tcW w:type="dxa" w:w="4853"/>
          </w:tcPr>
          <w:p>
            <w:r>
              <w:t>What actually happened: source identity, configuration version, dispatch, runtime steps, responses, failures, human decisions, and writeback.</w:t>
            </w:r>
          </w:p>
        </w:tc>
      </w:tr>
    </w:tbl>
    <w:p>
      <w:r>
        <w:t>The agent should retrieve relevant durable memory before substantive work, not only after the user notices a mistake. When conversation produces a durable decision, the agent should convert it into a structured memory proposal or approved record. Superseded decisions should remain historically visible but cease to govern new work.</w:t>
      </w:r>
    </w:p>
    <w:p>
      <w:r>
        <w:t>This makes memory operational rather than decorative. If project memory says that a document class must preserve direct quotations verbatim, that fact must constrain plan construction. If architecture memory says that editorial master history is human-owned, the agent must not casually invent an automatic commit path.</w:t>
      </w:r>
    </w:p>
    <w:p>
      <w:pPr>
        <w:pStyle w:val="Heading1"/>
      </w:pPr>
      <w:r>
        <w:t>5. What the agent should actually do</w:t>
      </w:r>
    </w:p>
    <w:p>
      <w:pPr>
        <w:pStyle w:val="Heading2"/>
      </w:pPr>
      <w:r>
        <w:t>5.1 Intake and task interpretation</w:t>
      </w:r>
    </w:p>
    <w:p>
      <w:r>
        <w:t>The user should be able to begin in natural professional language. The agent identifies the files or documents in scope, the intended outcome, the editorial risks, the relevant project memory, and whether the request resembles an existing routine operation.</w:t>
      </w:r>
    </w:p>
    <w:p>
      <w:r>
        <w:t>It should ask questions only when the answer materially changes the work. This preserves the principle already identified for verification: the useful measure is not how conversational the agent is, but how many material errors it prevents per minute of editor attention.</w:t>
      </w:r>
    </w:p>
    <w:p>
      <w:pPr>
        <w:pStyle w:val="Heading2"/>
      </w:pPr>
      <w:r>
        <w:t>5.2 Configuration synthesis</w:t>
      </w:r>
    </w:p>
    <w:p>
      <w:r>
        <w:t>For routine work, the agent selects an existing plan. For new or unusual work, it can assemble a scoped plan from global and user-specific components. It may draft instructions, choose an engine, add retrieval, or create a deterministic script. Those artifacts should be stored centrally under the appropriate scope and versioned with provenance.</w:t>
      </w:r>
    </w:p>
    <w:p>
      <w:r>
        <w:t>Users should not normally author instruction files. In the same way that a competent office user does not write printer drivers, a competent editor should not need to express editorial intent in the system's internal instruction format. The user states the editorial requirement; the agent is responsible for translating it.</w:t>
      </w:r>
    </w:p>
    <w:p>
      <w:pPr>
        <w:pStyle w:val="Heading2"/>
      </w:pPr>
      <w:r>
        <w:t>5.3 Presentation of plans</w:t>
      </w:r>
    </w:p>
    <w:p>
      <w:r>
        <w:t>Routine operation should present a short set of meaningful plans: some global, some user-scoped, perhaps some project-scoped. The labels should describe outcomes rather than implementation. A user might choose 'Clean up and verify', 'Preserve voice, tighten structure', or 'Financial terminology check' without knowing the underlying instruction stack.</w:t>
      </w:r>
    </w:p>
    <w:p>
      <w:r>
        <w:t>A plan remains important because it is the stable contract between conversational intent and reproducible execution. The agent can recommend a plan and explain it, but dispatch should still identify an actual versioned plan rather than an ephemeral hidden prompt assembled only in transient model context.</w:t>
      </w:r>
    </w:p>
    <w:p>
      <w:pPr>
        <w:pStyle w:val="Heading2"/>
      </w:pPr>
      <w:r>
        <w:t>5.4 Review triage</w:t>
      </w:r>
    </w:p>
    <w:p>
      <w:r>
        <w:t>The interface should minimize full-document rereading where possible. AI and deterministic checks can identify claims, source mismatches, ambiguous names, terminology, tone risks, or passages where native-market judgment is valuable. Human attention is then concentrated on those flagged zones.</w:t>
      </w:r>
    </w:p>
    <w:p>
      <w:r>
        <w:t>This is particularly aligned with the economics of the 80-percenter model. The local editor supplies the high-value local facts and ordinary judgment; the system identifies the relatively small portion that needs escalation. A native-speaking reviewer can then work on short, well-paid passages rather than rewriting an entire document.</w:t>
      </w:r>
    </w:p>
    <w:p>
      <w:pPr>
        <w:pStyle w:val="Heading2"/>
      </w:pPr>
      <w:r>
        <w:t>5.5 Persistent learning</w:t>
      </w:r>
    </w:p>
    <w:p>
      <w:r>
        <w:t>A successful one-off instruction or plan should not have to be rediscovered in a later chat. With appropriate approval, the agent should promote reusable decisions into the user's scoped control store. Over time, the user's plan menu becomes a practical expression of how that person actually works.</w:t>
      </w:r>
    </w:p>
    <w:p>
      <w:pPr>
        <w:pStyle w:val="Heading1"/>
      </w:pPr>
      <w:r>
        <w:t>6. The agent should not replace editorial responsibility</w:t>
      </w:r>
    </w:p>
    <w:p>
      <w:r>
        <w:t>The strongest AutoScribe proposition has consistently been human writing at AI-enabled cost, not autonomous publishing. The client should still deal with a responsible professional. The agent can reduce mechanical effort, maintain context, surface risk, and coordinate tools; it cannot become the accountable human relationship.</w:t>
      </w:r>
    </w:p>
    <w:p>
      <w:r>
        <w:t>For an 80-percenter, this distinction is empowering. The system is not there to overrule local knowledge or imitate a distant native copywriter. It is there to make the editor's own judgment more effective and to provide targeted support where the editor's confidence or specialist competence ends.</w:t>
      </w:r>
    </w:p>
    <w:p>
      <w:r>
        <w:t>The same principle applies to senior editors. The agent may eventually absorb much of the orchestration currently performed manually - decomposing jobs, routing work, identifying quality risk, and learning which contributor is reliable at which task - but that should emerge from observed, explicit operating rules rather than from opaque autonomy.</w:t>
      </w:r>
    </w:p>
    <w:p>
      <w:pPr>
        <w:pStyle w:val="Heading1"/>
      </w:pPr>
      <w:r>
        <w:t>7. What current high-capability models are already good enough to do</w:t>
      </w:r>
    </w:p>
    <w:p>
      <w:r>
        <w:t>From a capability perspective, a strong contemporary reasoning model can already perform much of the semantic work required by this interface. It can interpret loosely expressed editorial intent; compare a request with existing plans; draft narrow instructions; reason about sequencing; distinguish tasks better handled by code, retrieval, or language-model judgment; explain a proposed workflow; review outputs against stated constraints; and detect many contradictions or uncertainties.</w:t>
      </w:r>
    </w:p>
    <w:p>
      <w:r>
        <w:t>It is also well suited to the asymmetry of writer/editor interaction. The editor often knows what feels wrong without wanting to formalize the rule. A model can converse its way from 'this sounds too corporate' or 'do not make her sound stupid' to a structured instruction that can be reused and tested.</w:t>
      </w:r>
    </w:p>
    <w:p>
      <w:r>
        <w:t>This is exactly where a conventional menu-driven interface is weak. Menus require the designer to anticipate the user's conceptual categories. A reasoning agent can accept a much wider range of language and map it onto the smaller set of system primitives.</w:t>
      </w:r>
    </w:p>
    <w:p>
      <w:pPr>
        <w:pStyle w:val="Heading1"/>
      </w:pPr>
      <w:r>
        <w:t>8. Where the model remains unsafe or unreliable as an interface</w:t>
      </w:r>
    </w:p>
    <w:p>
      <w:r>
        <w:t>The model's weaknesses are equally important because an agent interface magnifies them. A conversational model can infer too much from incomplete context, forget an old decision when it is not retrieved, produce plausible but inconsistent configuration, overgeneralize a successful local rule, or explain a mistaken assumption fluently enough that it sounds intentional.</w:t>
      </w:r>
    </w:p>
    <w:p>
      <w:r>
        <w:t>Therefore the product should assume model fallibility and design around it:</w:t>
      </w:r>
    </w:p>
    <w:p>
      <w:pPr>
        <w:pStyle w:val="ListBullet"/>
        <w:spacing w:after="60"/>
      </w:pPr>
      <w:r>
        <w:t>Memory must be retrieved from an external authoritative store; the model should not be expected to remember the project by itself.</w:t>
      </w:r>
    </w:p>
    <w:p>
      <w:pPr>
        <w:pStyle w:val="ListBullet"/>
        <w:spacing w:after="60"/>
      </w:pPr>
      <w:r>
        <w:t>Durable decisions must be structured and scoped, not buried only in transcripts.</w:t>
      </w:r>
    </w:p>
    <w:p>
      <w:pPr>
        <w:pStyle w:val="ListBullet"/>
        <w:spacing w:after="60"/>
      </w:pPr>
      <w:r>
        <w:t>Generated plans, instructions, and scripts need schemas, validation, provenance, versioning, and testability.</w:t>
      </w:r>
    </w:p>
    <w:p>
      <w:pPr>
        <w:pStyle w:val="ListBullet"/>
        <w:spacing w:after="60"/>
      </w:pPr>
      <w:r>
        <w:t>Scripts require a permission and safety boundary before execution; generated code should never gain authority merely because the same agent wrote it.</w:t>
      </w:r>
    </w:p>
    <w:p>
      <w:pPr>
        <w:pStyle w:val="ListBullet"/>
        <w:spacing w:after="60"/>
      </w:pPr>
      <w:r>
        <w:t>Destructive or publication-sensitive actions need explicit policy gates even when the agent is confident.</w:t>
      </w:r>
    </w:p>
    <w:p>
      <w:pPr>
        <w:pStyle w:val="ListBullet"/>
        <w:spacing w:after="60"/>
      </w:pPr>
      <w:r>
        <w:t>The agent should expose material uncertainty rather than filling gaps with plausible prose.</w:t>
      </w:r>
    </w:p>
    <w:p>
      <w:pPr>
        <w:pStyle w:val="ListBullet"/>
        <w:spacing w:after="60"/>
      </w:pPr>
      <w:r>
        <w:t>The execution system must record what actually ran independently of the agent's narrative description of what it intended to run.</w:t>
      </w:r>
    </w:p>
    <w:p>
      <w:r>
        <w:t>In other words: the more natural the interface becomes, the more disciplined the back plane must become. Ease of use cannot be purchased by making state implicit.</w:t>
      </w:r>
    </w:p>
    <w:p>
      <w:pPr>
        <w:pStyle w:val="Heading1"/>
      </w:pPr>
      <w:r>
        <w:t>9. The 80-percenter as the design center</w:t>
      </w:r>
    </w:p>
    <w:p>
      <w:r>
        <w:t>Designing around expert engineers would produce the wrong product. Designing around inexperienced casual users would also be misleading. The 80-percenter is a useful center because this user has enough professional judgment to recognize quality and enough domain knowledge to be accountable, but gains disproportionate value from removing repetitive technical and language burdens.</w:t>
      </w:r>
    </w:p>
    <w:p>
      <w:r>
        <w:t>A good agent interface should let that editor spend time on questions such as: Is this true? Is this fair? Does this sound like the person or place I know? Is this the right emphasis for the reader? What is missing? What would embarrass us if published? Those are editorial questions.</w:t>
      </w:r>
    </w:p>
    <w:p>
      <w:r>
        <w:t>It should not consume the same editor's attention with: Which context slug belongs in step three? Which model profile should be inherited? Does this plan need a script record? Has the config ref been materialized? Those are system questions. If the system asks them of ordinary users, the abstraction has failed.</w:t>
      </w:r>
    </w:p>
    <w:p>
      <w:pPr>
        <w:pStyle w:val="Heading1"/>
      </w:pPr>
      <w:r>
        <w:t>10. Low-connectivity operation strengthens the case</w:t>
      </w:r>
    </w:p>
    <w:p>
      <w:r>
        <w:t>AutoScribe's asynchronous, local-first design is compatible with an agent interface provided the conversation is not mistaken for the execution channel. The user can converse while connected, approve a plan, dispatch work, and disconnect. Git and the job/response machinery remain the durable transport. Results can arrive later and be presented by the agent when connectivity returns.</w:t>
      </w:r>
    </w:p>
    <w:p>
      <w:r>
        <w:t>This matters in the exact environments AutoScribe is intended to serve. A sophisticated web application that assumes a permanent session would impose infrastructure requirements unrelated to the editorial job. A persistent agent backed by local files, durable queues, versioned configuration, and later reconciliation can give the appearance of continuity without requiring continuous connectivity.</w:t>
      </w:r>
    </w:p>
    <w:p>
      <w:pPr>
        <w:pStyle w:val="Heading1"/>
      </w:pPr>
      <w:r>
        <w:t>11. A likely interface</w:t>
      </w:r>
    </w:p>
    <w:p>
      <w:r>
        <w:t>If this position is adopted, the visible AutoScribe product can become much smaller even as the underlying system becomes more capable. A plausible professional surface consists of four things:</w:t>
      </w:r>
    </w:p>
    <w:p>
      <w:pPr>
        <w:pStyle w:val="ListBullet"/>
        <w:spacing w:after="60"/>
      </w:pPr>
      <w:r>
        <w:t>Conversation: tell the agent what needs to be done, ask questions about the material, and resolve exceptions.</w:t>
      </w:r>
    </w:p>
    <w:p>
      <w:pPr>
        <w:pStyle w:val="ListBullet"/>
        <w:spacing w:after="60"/>
      </w:pPr>
      <w:r>
        <w:t>Plans: a small outcome-oriented set of routine global and scoped operations, with the agent recommending the likely choice.</w:t>
      </w:r>
    </w:p>
    <w:p>
      <w:pPr>
        <w:pStyle w:val="ListBullet"/>
        <w:spacing w:after="60"/>
      </w:pPr>
      <w:r>
        <w:t>Review: a queue of candidate results, flagged uncertainties, comparisons, and decisions requiring human attention.</w:t>
      </w:r>
    </w:p>
    <w:p>
      <w:pPr>
        <w:pStyle w:val="ListBullet"/>
        <w:spacing w:after="60"/>
      </w:pPr>
      <w:r>
        <w:t>Status: what is pending, running, completed, failed, or waiting for a person - expressed without exposing internal transport machinery unless requested.</w:t>
      </w:r>
    </w:p>
    <w:p>
      <w:r>
        <w:t>Everything else can remain available as an expert inspection layer rather than the default user experience. This fits the earlier principle that the GUI should contain little or no business logic: the interface expresses intent and displays state; authoritative work happens behind explicit backend contracts.</w:t>
      </w:r>
    </w:p>
    <w:p>
      <w:pPr>
        <w:pStyle w:val="Heading1"/>
      </w:pPr>
      <w:r>
        <w:t>12. Implications for the central Control repository</w:t>
      </w:r>
    </w:p>
    <w:p>
      <w:r>
        <w:t>The recent move toward one central Control repository becomes more, not less, useful under an agent-first interface. The repository is no longer primarily a place where users manually maintain prompts. It becomes the durable, auditable output of the agent's configuration work.</w:t>
      </w:r>
    </w:p>
    <w:p>
      <w:r>
        <w:t>Global components can be maintained by the system operator. User-scoped components can be created by the agent from approved conversations. Plans can refer to either. Provenance can state whether an artifact came from a global preset, an agent-generated user rule, a senior-editor promotion, or a one-off task. Git history supplies a robust substrate for versioning and recovery even if users never see it.</w:t>
      </w:r>
    </w:p>
    <w:p>
      <w:r>
        <w:t>This also allows the plan menu to become the practical memory of routine work. The user does not need to remember how a job was configured six months earlier. The agent can retrieve the prior plan, explain its purpose in plain language, and either reuse it or propose a versioned change.</w:t>
      </w:r>
    </w:p>
    <w:p>
      <w:pPr>
        <w:pStyle w:val="Heading1"/>
      </w:pPr>
      <w:r>
        <w:t>13. Product principle: the interface should become more intelligent as the controls become more explicit</w:t>
      </w:r>
    </w:p>
    <w:p>
      <w:r>
        <w:t>There is a temptation to think that a powerful conversational interface makes formal controls less necessary. The opposite is true. If the model is allowed to translate increasingly vague human requests into increasingly powerful actions, the system needs stronger schemas, scopes, provenance, permissions, and tests behind it.</w:t>
      </w:r>
    </w:p>
    <w:p>
      <w:r>
        <w:t>The ideal AutoScribe experience is therefore paradoxical: from the user's side it feels less technical over time; underneath, it becomes more explicit and disciplined. The agent absorbs complexity at the boundary and emits structured artifacts that the rest of the system can validate.</w:t>
      </w:r>
    </w:p>
    <w:p>
      <w:pPr>
        <w:pStyle w:val="Heading1"/>
      </w:pPr>
      <w:r>
        <w:t>14. Six-month view</w:t>
      </w:r>
    </w:p>
    <w:p>
      <w:r>
        <w:t>It would be a mistake to make the product thesis depend on a prediction that language models will become dramatically more capable in six months. The more defensible assumption is that model capability will continue to vary, and that different models will be better at different editorial and mechanical tasks.</w:t>
      </w:r>
    </w:p>
    <w:p>
      <w:r>
        <w:t>The architecture should therefore make the agent replaceable. What matters is the contract: retrieve approved memory; interpret intent; propose structured configuration; validate it; obtain the required approvals; dispatch through stable backend commands; and record durable decisions. A better future model can occupy that role with less supervision, but the system should already work with a model that sometimes forgets, misunderstands, or needs correction.</w:t>
      </w:r>
    </w:p>
    <w:p>
      <w:r>
        <w:t>On that basis, the agent-as-interface proposition is viable now in constrained form and becomes more attractive as models improve. The enabling asset is not a hypothetical future intelligence. It is the disciplined environment that turns model reasoning into stable, reusable, testable configuration.</w:t>
      </w:r>
    </w:p>
    <w:p>
      <w:pPr>
        <w:pStyle w:val="Heading1"/>
      </w:pPr>
      <w:r>
        <w:t>15. Recommendation</w:t>
      </w:r>
    </w:p>
    <w:p>
      <w:r>
        <w:t>AutoScribe should proceed toward an agent-first interface, but define the agent narrowly and rigorously: it is the user's persistent editorial representative to the control system, not the uncontrolled owner of the system.</w:t>
      </w:r>
    </w:p>
    <w:p>
      <w:pPr>
        <w:pStyle w:val="ListBullet"/>
        <w:spacing w:after="60"/>
      </w:pPr>
      <w:r>
        <w:t>Make external memory mandatory and scoped.</w:t>
      </w:r>
    </w:p>
    <w:p>
      <w:pPr>
        <w:pStyle w:val="ListBullet"/>
        <w:spacing w:after="60"/>
      </w:pPr>
      <w:r>
        <w:t>Treat conversation as input and evidence, not as authoritative project state.</w:t>
      </w:r>
    </w:p>
    <w:p>
      <w:pPr>
        <w:pStyle w:val="ListBullet"/>
        <w:spacing w:after="60"/>
      </w:pPr>
      <w:r>
        <w:t>Let the agent create and maintain user-scoped control artifacts; do not require ordinary users to write instructions.</w:t>
      </w:r>
    </w:p>
    <w:p>
      <w:pPr>
        <w:pStyle w:val="ListBullet"/>
        <w:spacing w:after="60"/>
      </w:pPr>
      <w:r>
        <w:t>Keep plans as durable, versioned user-facing operations.</w:t>
      </w:r>
    </w:p>
    <w:p>
      <w:pPr>
        <w:pStyle w:val="ListBullet"/>
        <w:spacing w:after="60"/>
      </w:pPr>
      <w:r>
        <w:t>Validate generated configuration and code before it can execute.</w:t>
      </w:r>
    </w:p>
    <w:p>
      <w:pPr>
        <w:pStyle w:val="ListBullet"/>
        <w:spacing w:after="60"/>
      </w:pPr>
      <w:r>
        <w:t>Design review around exception and risk triage so human attention remains economically scarce.</w:t>
      </w:r>
    </w:p>
    <w:p>
      <w:pPr>
        <w:pStyle w:val="ListBullet"/>
        <w:spacing w:after="60"/>
      </w:pPr>
      <w:r>
        <w:t>Keep the writer/editor accountable for facts, judgment, and publication decisions.</w:t>
      </w:r>
    </w:p>
    <w:p>
      <w:pPr>
        <w:pStyle w:val="ListBullet"/>
        <w:spacing w:after="60"/>
      </w:pPr>
      <w:r>
        <w:t>Keep the execution back plane deterministic, inspectable, asynchronous, and recoverable.</w:t>
      </w:r>
    </w:p>
    <w:p>
      <w:r>
        <w:t>The strategic result is a product that does not ask local professionals to become AI operators. It lets them remain writers, editors, researchers, and trusted advisers while the agent quietly translates their expertise into the formal machinery required for reliable AI-assisted production.</w:t>
      </w:r>
    </w:p>
    <w:p>
      <w:pPr>
        <w:pStyle w:val="Heading1"/>
      </w:pPr>
      <w:r>
        <w:t>Internal design basis</w:t>
      </w:r>
    </w:p>
    <w:p>
      <w:r>
        <w:t>This paper synthesizes the current AutoScribe and GoInternational design discussions, especially the persistent-agent proposal, the human-in-the-loop editorial model, the 80-percenter editor tier, the dispatch/orchestration model, the low-connectivity architecture, and the recent move toward centralized agent-maintained Control configuration.</w:t>
      </w:r>
    </w:p>
    <w:p>
      <w:pPr>
        <w:pStyle w:val="ListBullet"/>
        <w:spacing w:after="40"/>
      </w:pPr>
      <w:r>
        <w:t>AutoScribe Persistent Authoring Agent (13 August 2026)</w:t>
      </w:r>
    </w:p>
    <w:p>
      <w:pPr>
        <w:pStyle w:val="ListBullet"/>
        <w:spacing w:after="40"/>
      </w:pPr>
      <w:r>
        <w:t>AutoScribe Venture Concept Note (August 2026)</w:t>
      </w:r>
    </w:p>
    <w:p>
      <w:pPr>
        <w:pStyle w:val="ListBullet"/>
        <w:spacing w:after="40"/>
      </w:pPr>
      <w:r>
        <w:t>AutoScribe Support Brief: Human Writing at AI Cost (August 2026)</w:t>
      </w:r>
    </w:p>
    <w:p>
      <w:pPr>
        <w:pStyle w:val="ListBullet"/>
        <w:spacing w:after="40"/>
      </w:pPr>
      <w:r>
        <w:t>AutoScribe: Human Writing at AI Scale (August 2026)</w:t>
      </w:r>
    </w:p>
    <w:p>
      <w:pPr>
        <w:pStyle w:val="ListBullet"/>
        <w:spacing w:after="40"/>
      </w:pPr>
      <w:r>
        <w:t>GoInternational: Dispatch and Orchestration (19 August 2026)</w:t>
      </w:r>
    </w:p>
    <w:p>
      <w:pPr>
        <w:pStyle w:val="ListBullet"/>
        <w:spacing w:after="40"/>
      </w:pPr>
      <w:r>
        <w:t>AutoScribe Architecture Note - Asynchronous Editorial Pipelines for Low-Connectivity Environments (6 August 2026)</w:t>
      </w:r>
    </w:p>
    <w:p>
      <w:pPr>
        <w:pStyle w:val="ListBullet"/>
        <w:spacing w:after="40"/>
      </w:pPr>
      <w:r>
        <w:t>AutoScribe's Potential Advantage: Six-Month Strategic Brief (August 2026)</w:t>
      </w:r>
    </w:p>
    <w:p>
      <w:pPr>
        <w:pStyle w:val="ListBullet"/>
        <w:spacing w:after="40"/>
      </w:pPr>
      <w:r>
        <w:t>Current AutoScribe architecture discussions through 30 August 2026</w:t>
      </w:r>
    </w:p>
    <w:sectPr w:rsidR="00FC693F" w:rsidRPr="0006063C" w:rsidSect="00034616">
      <w:footerReference w:type="default" r:id="rId9"/>
      <w:pgSz w:w="12240" w:h="15840"/>
      <w:pgMar w:top="1080"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AutoScribe position paper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