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Marketing talking points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Bob Freeberg was an American aviation-services provider who maintained the air link between the Republic of Indonesia and the rest of the world. His war-surplus C-47 was the first aircraft to carry Republic of Indonesia registration: RI-002.</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Freeberg’s contribution to the struggle for independence was significant. During a crucial 12-month period RI-002 was the only reliable link between blockaded Jogjakarta and the rest of the region. Soekarno was always eager to recognize Freeberg’s efforts, and held him up as proof that not all foreigners are enemies of the Indonesian people.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Freeberg’s purpose in assisting Indonesia was to operate a aviation company. He showed that it is possible for a foreigner to run a profitable business that also benefits the host nation.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Freeberg was instrumental in garnering official American support for Indonesian independence. He flew representatives of the United Nations on a secret missions throughout the Republic so they could witness first-hand the grass-roots support of most Indonesians for the struggle for freedom.</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Freeberg was highly skilled and always willing to coach Indonesian pilots. He was humble and respectful with a genuine affection for Indonesians. In this he provided a model for how expatriates should behave.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Indonesian Air Force supports thus book as they are proud of their efforts to seek the support of foreigners like Freeberg in the struggle for independence.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young Indonesians are surprised to discover that Freeberg played such an important role in the founding of their nation and are eager to learn more.</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new generation of prominent business people and government officials recognize that Indonesia’s future lies in open engagement with the global community. Raising awareness of the contributions of Bob Freeberg and other foreigners to the struggle to build the nation will be viewed in a positive light.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