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9EA08" w14:textId="4924B6A6" w:rsidR="003A1732" w:rsidRDefault="003A1732" w:rsidP="003A1732">
      <w:pPr>
        <w:pStyle w:val="Title"/>
        <w:jc w:val="right"/>
      </w:pPr>
      <w:r>
        <w:rPr>
          <w:noProof/>
          <w:lang w:val="en-US"/>
        </w:rPr>
        <w:drawing>
          <wp:inline distT="0" distB="0" distL="0" distR="0" wp14:anchorId="207FEC14" wp14:editId="3D93ED9E">
            <wp:extent cx="2113808" cy="8017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HR logo.gif"/>
                    <pic:cNvPicPr/>
                  </pic:nvPicPr>
                  <pic:blipFill>
                    <a:blip r:embed="rId9">
                      <a:extLst>
                        <a:ext uri="{28A0092B-C50C-407E-A947-70E740481C1C}">
                          <a14:useLocalDpi xmlns:a14="http://schemas.microsoft.com/office/drawing/2010/main" val="0"/>
                        </a:ext>
                      </a:extLst>
                    </a:blip>
                    <a:stretch>
                      <a:fillRect/>
                    </a:stretch>
                  </pic:blipFill>
                  <pic:spPr>
                    <a:xfrm>
                      <a:off x="0" y="0"/>
                      <a:ext cx="2157114" cy="818216"/>
                    </a:xfrm>
                    <a:prstGeom prst="rect">
                      <a:avLst/>
                    </a:prstGeom>
                  </pic:spPr>
                </pic:pic>
              </a:graphicData>
            </a:graphic>
          </wp:inline>
        </w:drawing>
      </w:r>
    </w:p>
    <w:p w14:paraId="418EDA94" w14:textId="77777777" w:rsidR="00BF00B2" w:rsidRPr="00BF00B2" w:rsidRDefault="00BF00B2" w:rsidP="00BF00B2">
      <w:pPr>
        <w:jc w:val="right"/>
        <w:rPr>
          <w:rFonts w:ascii="Calibri Light" w:hAnsi="Calibri Light"/>
          <w:b/>
          <w:color w:val="2E74B5" w:themeColor="accent1" w:themeShade="BF"/>
          <w:sz w:val="26"/>
        </w:rPr>
      </w:pPr>
      <w:r w:rsidRPr="00BF00B2">
        <w:rPr>
          <w:rFonts w:ascii="Calibri Light" w:hAnsi="Calibri Light"/>
          <w:b/>
          <w:color w:val="2E74B5" w:themeColor="accent1" w:themeShade="BF"/>
          <w:sz w:val="26"/>
        </w:rPr>
        <w:t>Diagnostic Evidence Co-operative (DEC) Newcastle</w:t>
      </w:r>
    </w:p>
    <w:p w14:paraId="2953B243" w14:textId="77777777" w:rsidR="003A1732" w:rsidRDefault="003A1732" w:rsidP="00BF00B2">
      <w:pPr>
        <w:pStyle w:val="Title"/>
        <w:jc w:val="right"/>
      </w:pPr>
    </w:p>
    <w:p w14:paraId="273B32EE" w14:textId="2F7FAEAB" w:rsidR="004C654C" w:rsidRPr="00026242" w:rsidRDefault="004C654C" w:rsidP="004C654C">
      <w:pPr>
        <w:pStyle w:val="Title"/>
      </w:pPr>
      <w:r w:rsidRPr="00026242">
        <w:t xml:space="preserve">Evaluation of the two-step </w:t>
      </w:r>
      <w:r w:rsidR="004E35A2">
        <w:t>diagnostic pathway</w:t>
      </w:r>
      <w:r w:rsidRPr="00026242">
        <w:t xml:space="preserve"> for familial </w:t>
      </w:r>
      <w:proofErr w:type="spellStart"/>
      <w:r w:rsidRPr="00026242">
        <w:t>hypercholesterolaemia</w:t>
      </w:r>
      <w:proofErr w:type="spellEnd"/>
      <w:r w:rsidR="004E35A2">
        <w:t xml:space="preserve"> in primary and secondary care</w:t>
      </w:r>
    </w:p>
    <w:p w14:paraId="2C637C81" w14:textId="3C715FB8" w:rsidR="00311874" w:rsidRPr="00311874" w:rsidRDefault="00F926F6" w:rsidP="00311874">
      <w:r>
        <w:t>Authors</w:t>
      </w:r>
    </w:p>
    <w:p w14:paraId="105ECFE3" w14:textId="2059F2BC" w:rsidR="006A2479" w:rsidRDefault="006A2479" w:rsidP="006A2479">
      <w:r>
        <w:t>NIHR Diagnostic Evidence Co-operative Newcastle upon Tyne, UK, NE2 4HH</w:t>
      </w:r>
      <w:r>
        <w:br/>
        <w:t>Joy Allen</w:t>
      </w:r>
      <w:r>
        <w:br/>
      </w:r>
      <w:r w:rsidRPr="00397AC7">
        <w:t>IVD</w:t>
      </w:r>
      <w:r>
        <w:t xml:space="preserve"> evaluation methodologist</w:t>
      </w:r>
      <w:r>
        <w:br/>
      </w:r>
      <w:r>
        <w:br/>
      </w:r>
      <w:r w:rsidRPr="00ED0C2D">
        <w:t>Michael Power</w:t>
      </w:r>
      <w:r>
        <w:br/>
        <w:t xml:space="preserve">deputy director </w:t>
      </w:r>
    </w:p>
    <w:p w14:paraId="505CA59F" w14:textId="048AB669" w:rsidR="004E35A2" w:rsidRDefault="004E35A2" w:rsidP="006A2479">
      <w:r>
        <w:t>Dermot Neely</w:t>
      </w:r>
    </w:p>
    <w:p w14:paraId="0D4AAAE4" w14:textId="725C05DC" w:rsidR="004E35A2" w:rsidRDefault="004E35A2" w:rsidP="006A2479">
      <w:r>
        <w:t>Angie Silmon</w:t>
      </w:r>
    </w:p>
    <w:p w14:paraId="58849BDB" w14:textId="4018BE4E" w:rsidR="004E35A2" w:rsidRDefault="004E35A2" w:rsidP="006A2479">
      <w:r>
        <w:t>Paul Brennan</w:t>
      </w:r>
    </w:p>
    <w:p w14:paraId="4F59B8F0" w14:textId="7351E751" w:rsidR="004E35A2" w:rsidRDefault="004E35A2" w:rsidP="006A2479">
      <w:r>
        <w:t>Michael Wright</w:t>
      </w:r>
    </w:p>
    <w:p w14:paraId="10499E7D" w14:textId="07470B36" w:rsidR="004E35A2" w:rsidRDefault="004E35A2" w:rsidP="006A2479">
      <w:r>
        <w:t xml:space="preserve">Ann Curtis </w:t>
      </w:r>
    </w:p>
    <w:p w14:paraId="2823FA53" w14:textId="673965CB" w:rsidR="004E35A2" w:rsidRDefault="004E35A2" w:rsidP="006A2479">
      <w:r>
        <w:t>Ciaron McAnulty</w:t>
      </w:r>
    </w:p>
    <w:p w14:paraId="4B85CDEA" w14:textId="77777777" w:rsidR="004E35A2" w:rsidRDefault="004E35A2" w:rsidP="006A2479"/>
    <w:p w14:paraId="7F1EAF64" w14:textId="77777777" w:rsidR="006A2479" w:rsidRDefault="006A2479" w:rsidP="006A2479"/>
    <w:p w14:paraId="27D467FC" w14:textId="77777777" w:rsidR="000C799A" w:rsidRDefault="000C799A" w:rsidP="000C799A"/>
    <w:p w14:paraId="03D5FAC4" w14:textId="77777777" w:rsidR="003A1732" w:rsidRDefault="003A1732" w:rsidP="000C799A"/>
    <w:p w14:paraId="150C9518" w14:textId="77777777" w:rsidR="0045336E" w:rsidRPr="000C799A" w:rsidRDefault="009E76F3" w:rsidP="000C799A">
      <w:pPr>
        <w:pStyle w:val="Heading1"/>
        <w:pageBreakBefore/>
      </w:pPr>
      <w:r w:rsidRPr="000C799A">
        <w:lastRenderedPageBreak/>
        <w:t>Abstract</w:t>
      </w:r>
    </w:p>
    <w:p w14:paraId="1EC086F9" w14:textId="77777777" w:rsidR="00082B1C" w:rsidRDefault="00082B1C" w:rsidP="000C799A">
      <w:pPr>
        <w:pStyle w:val="Heading2"/>
      </w:pPr>
      <w:r w:rsidRPr="009A5E5E">
        <w:t>Background</w:t>
      </w:r>
    </w:p>
    <w:p w14:paraId="20030A25" w14:textId="5FA491AD" w:rsidR="004E35A2" w:rsidRPr="004E35A2" w:rsidRDefault="000E3FC7" w:rsidP="004E35A2">
      <w:r>
        <w:rPr>
          <w:rFonts w:eastAsia="SimSun" w:cs="Arial"/>
          <w:lang w:eastAsia="zh-CN"/>
        </w:rPr>
        <w:t xml:space="preserve">The </w:t>
      </w:r>
      <w:r w:rsidR="004E35A2">
        <w:t xml:space="preserve">National Institute for Health and Care Excellence (NICE) have recommended patients with a clinical diagnostic of familial </w:t>
      </w:r>
      <w:proofErr w:type="spellStart"/>
      <w:r w:rsidR="004E35A2">
        <w:t>hypercholesterolaemia</w:t>
      </w:r>
      <w:proofErr w:type="spellEnd"/>
      <w:r w:rsidR="004E35A2">
        <w:t xml:space="preserve"> (FH) genetic testing to confirm the diagnosis and identify affected relatives.  </w:t>
      </w:r>
      <w:r>
        <w:t xml:space="preserve">The North East North Cumbria has recently established a two stage, `chip and sequence’ testing strategy to deliver FH genetic testing for FH to the region.  The `chip and sequence’ approach comprised of an initial screen with </w:t>
      </w:r>
      <w:r w:rsidR="002348D0">
        <w:t>a</w:t>
      </w:r>
      <w:r>
        <w:t xml:space="preserve"> rapid genotyping test for detection of the 52 most common mutations occurring with a high frequency in the region</w:t>
      </w:r>
      <w:r w:rsidR="002348D0">
        <w:t xml:space="preserve">.  </w:t>
      </w:r>
      <w:r w:rsidR="008B7CBE">
        <w:t>If no mutation is detected and further testing is indicated through an MDT</w:t>
      </w:r>
      <w:r w:rsidR="002348D0">
        <w:t xml:space="preserve">, then </w:t>
      </w:r>
      <w:r>
        <w:t>comprehensive full gene sequencing using next generation sequencing technologies</w:t>
      </w:r>
      <w:r w:rsidR="00710BB0">
        <w:t xml:space="preserve"> (NGS)</w:t>
      </w:r>
      <w:r w:rsidR="002348D0">
        <w:t xml:space="preserve"> is carried out</w:t>
      </w:r>
      <w:r>
        <w:t xml:space="preserve">.  </w:t>
      </w:r>
    </w:p>
    <w:p w14:paraId="2C747D85" w14:textId="77777777" w:rsidR="009E76F3" w:rsidRDefault="009E76F3" w:rsidP="000C799A">
      <w:pPr>
        <w:pStyle w:val="Heading2"/>
      </w:pPr>
      <w:r w:rsidRPr="009A5E5E">
        <w:t>Objectives</w:t>
      </w:r>
    </w:p>
    <w:p w14:paraId="2E5AF452" w14:textId="0085056C" w:rsidR="004E35A2" w:rsidRPr="004E35A2" w:rsidRDefault="002348D0" w:rsidP="004E35A2">
      <w:r>
        <w:t>T</w:t>
      </w:r>
      <w:r w:rsidR="000E3FC7">
        <w:t>o validate and optimize</w:t>
      </w:r>
      <w:r>
        <w:t xml:space="preserve"> the use of this </w:t>
      </w:r>
      <w:r w:rsidR="000E3FC7">
        <w:t>two step ‘chip and sequence’</w:t>
      </w:r>
      <w:r>
        <w:t xml:space="preserve"> diagnostic pathway</w:t>
      </w:r>
      <w:r w:rsidR="00BB0F38">
        <w:t xml:space="preserve"> and to determine the cost consequences of this approach.  </w:t>
      </w:r>
    </w:p>
    <w:p w14:paraId="7EBDF973" w14:textId="77777777" w:rsidR="009E76F3" w:rsidRDefault="009E76F3" w:rsidP="000C799A">
      <w:pPr>
        <w:pStyle w:val="Heading2"/>
      </w:pPr>
      <w:r w:rsidRPr="009A5E5E">
        <w:t>Methods</w:t>
      </w:r>
    </w:p>
    <w:p w14:paraId="1902DC49" w14:textId="4EC92F63" w:rsidR="002348D0" w:rsidRPr="002348D0" w:rsidRDefault="002348D0" w:rsidP="002348D0">
      <w:r>
        <w:t xml:space="preserve">From </w:t>
      </w:r>
      <w:r w:rsidR="008B7CBE">
        <w:t xml:space="preserve">June 2014- June 2015 258 patients from </w:t>
      </w:r>
      <w:r w:rsidR="008B7CBE">
        <w:rPr>
          <w:lang w:eastAsia="zh-CN"/>
        </w:rPr>
        <w:t>the Northern Clinical Commissioning Forum</w:t>
      </w:r>
      <w:r w:rsidR="008B7CBE">
        <w:t xml:space="preserve"> </w:t>
      </w:r>
      <w:r w:rsidR="0022415F">
        <w:t>were referred for genetic testing</w:t>
      </w:r>
      <w:r w:rsidR="008B7CBE">
        <w:t xml:space="preserve"> if</w:t>
      </w:r>
      <w:r w:rsidR="00BB0F38">
        <w:t xml:space="preserve"> they were clinically diagnosed as likely to have a genetic mutation associated with FH</w:t>
      </w:r>
      <w:r w:rsidR="00710BB0">
        <w:t>.  Those who were not routinely tested with NGS as part of the pathway were tested retro</w:t>
      </w:r>
      <w:r w:rsidR="008B7CBE">
        <w:t xml:space="preserve">spectively in order to determine the diagnostic accuracy </w:t>
      </w:r>
      <w:r w:rsidR="00710BB0">
        <w:t>of the</w:t>
      </w:r>
      <w:r w:rsidR="008B7CBE">
        <w:t xml:space="preserve"> two-step pathway as compared with </w:t>
      </w:r>
      <w:r w:rsidR="00710BB0">
        <w:t>NGS</w:t>
      </w:r>
      <w:r w:rsidR="008B7CBE">
        <w:t xml:space="preserve"> of all those referred</w:t>
      </w:r>
      <w:r w:rsidR="00710BB0">
        <w:t xml:space="preserve">.  </w:t>
      </w:r>
      <w:r w:rsidR="008B7CBE">
        <w:t xml:space="preserve">A simple cost comparison determined whether this approach was cost saving.  </w:t>
      </w:r>
    </w:p>
    <w:p w14:paraId="7C328768" w14:textId="12193B08" w:rsidR="009E76F3" w:rsidRDefault="009E76F3" w:rsidP="000C799A">
      <w:pPr>
        <w:pStyle w:val="Heading2"/>
      </w:pPr>
      <w:r w:rsidRPr="009A5E5E">
        <w:t>Results</w:t>
      </w:r>
    </w:p>
    <w:p w14:paraId="6CFA6FFB" w14:textId="32FBDB94" w:rsidR="00710BB0" w:rsidRDefault="00BB0F38" w:rsidP="0022415F">
      <w:pPr>
        <w:pStyle w:val="NoSpacing"/>
      </w:pPr>
      <w:r>
        <w:t xml:space="preserve">92 (36%) of the cohort were found to have a mutation associated with FH.  90 of these were picked up during the two-stage `chip and sequence’ approach.  </w:t>
      </w:r>
      <w:r w:rsidR="00710BB0">
        <w:t xml:space="preserve">The sensitivity and specificity of the two step testing procedure as compared with </w:t>
      </w:r>
      <w:r w:rsidR="0022415F">
        <w:t>NGS are 97.8% (95% CI: 96.0% - 99.6%) and 100% (95</w:t>
      </w:r>
      <w:r w:rsidR="0022415F" w:rsidRPr="0022415F">
        <w:rPr>
          <w:highlight w:val="yellow"/>
        </w:rPr>
        <w:t xml:space="preserve">% CI: </w:t>
      </w:r>
      <w:r w:rsidR="005B6E53">
        <w:rPr>
          <w:highlight w:val="yellow"/>
        </w:rPr>
        <w:t>%- 100%</w:t>
      </w:r>
      <w:r w:rsidR="0022415F" w:rsidRPr="0022415F">
        <w:rPr>
          <w:highlight w:val="yellow"/>
        </w:rPr>
        <w:t>)</w:t>
      </w:r>
      <w:r w:rsidR="0022415F">
        <w:t xml:space="preserve"> respectively.  </w:t>
      </w:r>
    </w:p>
    <w:p w14:paraId="1A5C757C" w14:textId="6DC113BF" w:rsidR="00BB0F38" w:rsidRDefault="00BB0F38" w:rsidP="00BB0F38">
      <w:pPr>
        <w:pStyle w:val="NoSpacing"/>
      </w:pPr>
      <w:r>
        <w:t>The cost per patient for the two step diagnostic pathway was £358.14, which represents a saving of £41.86 per patient when compared with a testing strategy using NGS only.</w:t>
      </w:r>
    </w:p>
    <w:p w14:paraId="17A46FA9" w14:textId="77777777" w:rsidR="00BB0F38" w:rsidRDefault="00BB0F38" w:rsidP="0022415F">
      <w:pPr>
        <w:pStyle w:val="NoSpacing"/>
      </w:pPr>
    </w:p>
    <w:p w14:paraId="5EA6D45C" w14:textId="7D9F8396" w:rsidR="00710BB0" w:rsidRPr="00710BB0" w:rsidRDefault="00710BB0" w:rsidP="00710BB0">
      <w:pPr>
        <w:pStyle w:val="Heading2"/>
      </w:pPr>
      <w:r>
        <w:t>Interpretation</w:t>
      </w:r>
    </w:p>
    <w:p w14:paraId="32907E94" w14:textId="58E4C672" w:rsidR="00643BD3" w:rsidRDefault="00BB0F38" w:rsidP="00DE5EB1">
      <w:r>
        <w:t xml:space="preserve">A diagnostic pathway for genetic </w:t>
      </w:r>
      <w:proofErr w:type="gramStart"/>
      <w:r>
        <w:t>testing which incorporates the use of a two-step ‘chip and sequence’ approach</w:t>
      </w:r>
      <w:proofErr w:type="gramEnd"/>
      <w:r>
        <w:t xml:space="preserve"> represents cost savings for </w:t>
      </w:r>
      <w:r w:rsidR="008B7CBE">
        <w:t>CCGs.</w:t>
      </w:r>
      <w:r>
        <w:t xml:space="preserve">  Continual feedback to optimize the chip to include all regionally frequent mutations is recommended.  Further refinement of clinical scoring criteria to include</w:t>
      </w:r>
      <w:r w:rsidR="008B7CBE">
        <w:t xml:space="preserve"> age gender specific </w:t>
      </w:r>
      <w:proofErr w:type="spellStart"/>
      <w:r w:rsidR="008B7CBE">
        <w:t>nonHDL</w:t>
      </w:r>
      <w:proofErr w:type="spellEnd"/>
      <w:r w:rsidR="008B7CBE">
        <w:t xml:space="preserve"> cut-</w:t>
      </w:r>
      <w:r>
        <w:t xml:space="preserve">offs as well as chip optimization to include polygenic risk markers follows this work.  </w:t>
      </w:r>
    </w:p>
    <w:p w14:paraId="618879C7" w14:textId="77777777" w:rsidR="00082B1C" w:rsidRDefault="009E76F3" w:rsidP="000C799A">
      <w:pPr>
        <w:pStyle w:val="Heading1"/>
        <w:pageBreakBefore/>
      </w:pPr>
      <w:r w:rsidRPr="009A5E5E">
        <w:lastRenderedPageBreak/>
        <w:t>Introduction</w:t>
      </w:r>
    </w:p>
    <w:p w14:paraId="09555620" w14:textId="38CE8A26" w:rsidR="005B6E53" w:rsidRPr="00454CB5" w:rsidRDefault="005B6E53" w:rsidP="005B6E53">
      <w:pPr>
        <w:spacing w:after="200" w:line="276" w:lineRule="auto"/>
        <w:rPr>
          <w:rFonts w:eastAsia="SimSun" w:cs="Arial"/>
          <w:lang w:eastAsia="zh-CN"/>
        </w:rPr>
      </w:pPr>
      <w:r w:rsidRPr="00454CB5">
        <w:rPr>
          <w:rFonts w:eastAsia="SimSun"/>
          <w:lang w:eastAsia="zh-CN"/>
        </w:rPr>
        <w:t xml:space="preserve">Familial Hypercholesterolaemia (FH) is a genetic disorder characterised by high </w:t>
      </w:r>
      <w:r w:rsidRPr="00454CB5">
        <w:rPr>
          <w:rFonts w:eastAsia="SimSun" w:cs="Arial"/>
          <w:lang w:eastAsia="zh-CN"/>
        </w:rPr>
        <w:t xml:space="preserve">LDL-cholesterol </w:t>
      </w:r>
      <w:r w:rsidRPr="00454CB5">
        <w:rPr>
          <w:rFonts w:eastAsia="SimSun"/>
          <w:lang w:eastAsia="zh-CN"/>
        </w:rPr>
        <w:t xml:space="preserve">levels causing premature cardiovascular disease. </w:t>
      </w:r>
      <w:r w:rsidRPr="00454CB5">
        <w:rPr>
          <w:rFonts w:eastAsia="SimSun" w:cs="Arial"/>
          <w:lang w:eastAsia="zh-CN"/>
        </w:rPr>
        <w:t>Although one of the commonest inherited conditi</w:t>
      </w:r>
      <w:r>
        <w:rPr>
          <w:rFonts w:eastAsia="SimSun" w:cs="Arial"/>
          <w:lang w:eastAsia="zh-CN"/>
        </w:rPr>
        <w:t xml:space="preserve">ons, thought to affect </w:t>
      </w:r>
      <w:commentRangeStart w:id="0"/>
      <w:r>
        <w:rPr>
          <w:rFonts w:eastAsia="SimSun" w:cs="Arial"/>
          <w:lang w:eastAsia="zh-CN"/>
        </w:rPr>
        <w:t>around 1 in 250</w:t>
      </w:r>
      <w:r w:rsidRPr="00454CB5">
        <w:rPr>
          <w:rFonts w:eastAsia="SimSun" w:cs="Arial"/>
          <w:lang w:eastAsia="zh-CN"/>
        </w:rPr>
        <w:t xml:space="preserve"> people</w:t>
      </w:r>
      <w:commentRangeEnd w:id="0"/>
      <w:r>
        <w:rPr>
          <w:rStyle w:val="CommentReference"/>
        </w:rPr>
        <w:commentReference w:id="0"/>
      </w:r>
      <w:r w:rsidRPr="00454CB5">
        <w:rPr>
          <w:rFonts w:eastAsia="SimSun" w:cs="Arial"/>
          <w:lang w:eastAsia="zh-CN"/>
        </w:rPr>
        <w:t>, it is asymptomatic and therefore under-diagnosed with 85% of those affected remaining unidentified. Untreated, people with FH are at risk of major cardiovascular events early in life, typically in their 40’s or 50’s. The key to improving outcomes is early identification and initiation of high intensity statin treatment, effectively eliminating the excess cardiovascular risk associated.</w:t>
      </w:r>
    </w:p>
    <w:p w14:paraId="29D5C81E" w14:textId="78DC9D75" w:rsidR="005B6E53" w:rsidRPr="00454CB5" w:rsidRDefault="005B6E53" w:rsidP="005B6E53">
      <w:pPr>
        <w:spacing w:after="200" w:line="276" w:lineRule="auto"/>
        <w:rPr>
          <w:rFonts w:eastAsia="SimSun" w:cs="Arial"/>
          <w:lang w:eastAsia="zh-CN"/>
        </w:rPr>
      </w:pPr>
      <w:r w:rsidRPr="00454CB5">
        <w:rPr>
          <w:rFonts w:eastAsia="SimSun" w:cs="Arial"/>
          <w:lang w:eastAsia="zh-CN"/>
        </w:rPr>
        <w:t xml:space="preserve">Cascade testing of relatives of patients with genetically confirmed FH is the most effective strategy for early identification of undiagnosed individuals.  In 2008 the Institute for Health and Clinical Excellence (NICE) published guidance </w:t>
      </w:r>
      <w:commentRangeStart w:id="1"/>
      <w:r w:rsidRPr="00454CB5">
        <w:rPr>
          <w:rFonts w:eastAsia="SimSun" w:cs="Arial"/>
          <w:lang w:eastAsia="zh-CN"/>
        </w:rPr>
        <w:t xml:space="preserve">(CG071) </w:t>
      </w:r>
      <w:commentRangeEnd w:id="1"/>
      <w:r>
        <w:rPr>
          <w:rStyle w:val="CommentReference"/>
        </w:rPr>
        <w:commentReference w:id="1"/>
      </w:r>
      <w:r w:rsidRPr="00454CB5">
        <w:rPr>
          <w:rFonts w:eastAsia="SimSun" w:cs="Arial"/>
          <w:lang w:eastAsia="zh-CN"/>
        </w:rPr>
        <w:t>recommending as part of specialist assessment, patients with a clinical diagnosis of FH should be offered genetic testing to confirm the diagnosis and identify affected relatives.</w:t>
      </w:r>
      <w:r w:rsidR="00C01225">
        <w:rPr>
          <w:rFonts w:eastAsia="SimSun" w:cs="Arial"/>
          <w:lang w:eastAsia="zh-CN"/>
        </w:rPr>
        <w:t xml:space="preserve">  </w:t>
      </w:r>
    </w:p>
    <w:p w14:paraId="42917BE7" w14:textId="71D0ECDF" w:rsidR="00C01225" w:rsidRDefault="00886A22" w:rsidP="00886A22">
      <w:pPr>
        <w:spacing w:after="200" w:line="276" w:lineRule="auto"/>
        <w:rPr>
          <w:rFonts w:eastAsia="SimSun" w:cs="Arial"/>
          <w:lang w:eastAsia="zh-CN"/>
        </w:rPr>
      </w:pPr>
      <w:r w:rsidRPr="00886A22">
        <w:rPr>
          <w:rFonts w:eastAsia="SimSun" w:cs="Arial"/>
          <w:lang w:eastAsia="zh-CN"/>
        </w:rPr>
        <w:t>In April 2014 The Northern England Strategic Clinical Network Lipid Specialists Advisory Group secured</w:t>
      </w:r>
      <w:r>
        <w:rPr>
          <w:rFonts w:eastAsia="SimSun" w:cs="Arial"/>
          <w:lang w:eastAsia="zh-CN"/>
        </w:rPr>
        <w:t xml:space="preserve"> the support of the Northern Clinical </w:t>
      </w:r>
      <w:r w:rsidR="008B7CBE">
        <w:rPr>
          <w:rFonts w:eastAsia="SimSun" w:cs="Arial"/>
          <w:lang w:eastAsia="zh-CN"/>
        </w:rPr>
        <w:t>Commissioning</w:t>
      </w:r>
      <w:r w:rsidRPr="00886A22">
        <w:rPr>
          <w:rFonts w:eastAsia="SimSun" w:cs="Arial"/>
          <w:lang w:eastAsia="zh-CN"/>
        </w:rPr>
        <w:t xml:space="preserve"> Forum </w:t>
      </w:r>
      <w:r>
        <w:rPr>
          <w:rFonts w:eastAsia="SimSun" w:cs="Arial"/>
          <w:lang w:eastAsia="zh-CN"/>
        </w:rPr>
        <w:t xml:space="preserve">(13 CCGs) </w:t>
      </w:r>
      <w:r w:rsidRPr="00886A22">
        <w:rPr>
          <w:rFonts w:eastAsia="SimSun" w:cs="Arial"/>
          <w:lang w:eastAsia="zh-CN"/>
        </w:rPr>
        <w:t xml:space="preserve">and funding from the British Heart Foundation (BHF) for two nurses and one administrator to enable the establishment of a region-wide Familial Hypercholesterolaemia (FH) Genetic Cascade Testing Service. </w:t>
      </w:r>
    </w:p>
    <w:p w14:paraId="0B17462B" w14:textId="77777777" w:rsidR="00C01225" w:rsidRPr="00454CB5" w:rsidRDefault="00C01225" w:rsidP="00C01225">
      <w:pPr>
        <w:spacing w:after="200" w:line="276" w:lineRule="auto"/>
        <w:rPr>
          <w:rFonts w:eastAsia="SimSun" w:cs="Arial"/>
          <w:lang w:eastAsia="zh-CN"/>
        </w:rPr>
      </w:pPr>
      <w:r w:rsidRPr="00C01225">
        <w:rPr>
          <w:rFonts w:eastAsia="SimSun" w:cs="Arial"/>
          <w:lang w:eastAsia="zh-CN"/>
        </w:rPr>
        <w:t>The NICE Diagnostic Guidance (DG2) provides an evaluation of technologies that assess a known sub-set of mutations and concludes that greater health benefits can be achieved through the use of comprehensive genetic analysis. Hence restricted “common mutation” tests are not recommended.</w:t>
      </w:r>
    </w:p>
    <w:p w14:paraId="7D492D1B" w14:textId="4C54EC54" w:rsidR="00886A22" w:rsidRPr="00886A22" w:rsidRDefault="00C01225" w:rsidP="00886A22">
      <w:pPr>
        <w:spacing w:after="200" w:line="276" w:lineRule="auto"/>
        <w:rPr>
          <w:rFonts w:eastAsia="SimSun" w:cs="Arial"/>
          <w:lang w:eastAsia="zh-CN"/>
        </w:rPr>
      </w:pPr>
      <w:r>
        <w:rPr>
          <w:rFonts w:eastAsia="SimSun" w:cs="Arial"/>
          <w:lang w:eastAsia="zh-CN"/>
        </w:rPr>
        <w:t xml:space="preserve">However, it is important to consider the potential cost savings a rapid, genotyping assay for common mutations can offer. Therefore, at the same time the regional genetic testing strategy was being rolled out, </w:t>
      </w:r>
      <w:r w:rsidR="00886A22" w:rsidRPr="00886A22">
        <w:rPr>
          <w:rFonts w:eastAsia="SimSun" w:cs="Arial"/>
          <w:lang w:eastAsia="zh-CN"/>
        </w:rPr>
        <w:t>funding was granted from the Academic Health Science Network (AHSN) for a one year project to evaluate alternat</w:t>
      </w:r>
      <w:r w:rsidR="00886A22">
        <w:rPr>
          <w:rFonts w:eastAsia="SimSun" w:cs="Arial"/>
          <w:lang w:eastAsia="zh-CN"/>
        </w:rPr>
        <w:t>ive genetic testing strategies.</w:t>
      </w:r>
    </w:p>
    <w:p w14:paraId="16706FD8" w14:textId="7AF8BAA6" w:rsidR="00BB0F38" w:rsidRDefault="00886A22" w:rsidP="00886A22">
      <w:pPr>
        <w:pStyle w:val="Heading2"/>
        <w:rPr>
          <w:lang w:eastAsia="zh-CN"/>
        </w:rPr>
      </w:pPr>
      <w:r>
        <w:rPr>
          <w:lang w:eastAsia="zh-CN"/>
        </w:rPr>
        <w:t>Methods</w:t>
      </w:r>
    </w:p>
    <w:p w14:paraId="2FBD3F48" w14:textId="0B8ACAB0" w:rsidR="00650083" w:rsidRPr="00F610D9" w:rsidRDefault="00650083" w:rsidP="00650083">
      <w:pPr>
        <w:rPr>
          <w:lang w:eastAsia="zh-CN"/>
        </w:rPr>
      </w:pPr>
      <w:r>
        <w:rPr>
          <w:lang w:eastAsia="zh-CN"/>
        </w:rPr>
        <w:t xml:space="preserve">Patients presenting to primary care practices within the Northern Clinical Commissioning Forum (13 CCGs) were referred for genetic diagnosis if they had </w:t>
      </w:r>
      <w:r>
        <w:rPr>
          <w:rFonts w:eastAsia="SimSun" w:cs="Arial"/>
          <w:lang w:eastAsia="zh-CN"/>
        </w:rPr>
        <w:t>Dutch Lipid Clinic Network (DLCN</w:t>
      </w:r>
      <w:r w:rsidRPr="00886A22">
        <w:rPr>
          <w:rFonts w:eastAsia="SimSun" w:cs="Arial"/>
          <w:lang w:eastAsia="zh-CN"/>
        </w:rPr>
        <w:t>) Score of greater than 5</w:t>
      </w:r>
      <w:r>
        <w:rPr>
          <w:rFonts w:eastAsia="SimSun" w:cs="Arial"/>
          <w:lang w:eastAsia="zh-CN"/>
        </w:rPr>
        <w:t xml:space="preserve">.  </w:t>
      </w:r>
    </w:p>
    <w:p w14:paraId="5BBAFE5E" w14:textId="668E7F01" w:rsidR="00650083" w:rsidRDefault="00650083" w:rsidP="00650083">
      <w:pPr>
        <w:rPr>
          <w:rFonts w:eastAsia="SimSun" w:cs="Arial"/>
          <w:lang w:eastAsia="zh-CN"/>
        </w:rPr>
      </w:pPr>
      <w:r>
        <w:rPr>
          <w:rFonts w:eastAsia="SimSun" w:cs="Arial"/>
          <w:lang w:eastAsia="zh-CN"/>
        </w:rPr>
        <w:t xml:space="preserve">These patients underwent the two stage testing strategy as part of a service improvement project in the North East North Cumbria region.  </w:t>
      </w:r>
    </w:p>
    <w:p w14:paraId="7C38DF44" w14:textId="15274230" w:rsidR="00BE5D21" w:rsidRDefault="00886A22" w:rsidP="00886A22">
      <w:pPr>
        <w:spacing w:after="200" w:line="276" w:lineRule="auto"/>
        <w:rPr>
          <w:rFonts w:eastAsia="SimSun" w:cs="Arial"/>
          <w:lang w:eastAsia="zh-CN"/>
        </w:rPr>
      </w:pPr>
      <w:r w:rsidRPr="00886A22">
        <w:rPr>
          <w:rFonts w:eastAsia="SimSun" w:cs="Arial"/>
          <w:lang w:eastAsia="zh-CN"/>
        </w:rPr>
        <w:t xml:space="preserve">The Northern Genetic Service in collaboration </w:t>
      </w:r>
      <w:r>
        <w:rPr>
          <w:rFonts w:eastAsia="SimSun" w:cs="Arial"/>
          <w:lang w:eastAsia="zh-CN"/>
        </w:rPr>
        <w:t xml:space="preserve">with </w:t>
      </w:r>
      <w:proofErr w:type="spellStart"/>
      <w:r>
        <w:rPr>
          <w:rFonts w:eastAsia="SimSun" w:cs="Arial"/>
          <w:lang w:eastAsia="zh-CN"/>
        </w:rPr>
        <w:t>NewGene</w:t>
      </w:r>
      <w:proofErr w:type="spellEnd"/>
      <w:r w:rsidRPr="00886A22">
        <w:rPr>
          <w:rFonts w:eastAsia="SimSun" w:cs="Arial"/>
          <w:lang w:eastAsia="zh-CN"/>
        </w:rPr>
        <w:t xml:space="preserve"> developed a bes</w:t>
      </w:r>
      <w:r>
        <w:rPr>
          <w:rFonts w:eastAsia="SimSun" w:cs="Arial"/>
          <w:lang w:eastAsia="zh-CN"/>
        </w:rPr>
        <w:t>poke two-stage ‘chip and sequence’</w:t>
      </w:r>
      <w:r w:rsidRPr="00886A22">
        <w:rPr>
          <w:rFonts w:eastAsia="SimSun" w:cs="Arial"/>
          <w:lang w:eastAsia="zh-CN"/>
        </w:rPr>
        <w:t xml:space="preserve"> genetic testing strategy</w:t>
      </w:r>
      <w:r w:rsidR="00AD5C8D">
        <w:rPr>
          <w:rFonts w:eastAsia="SimSun" w:cs="Arial"/>
          <w:lang w:eastAsia="zh-CN"/>
        </w:rPr>
        <w:t>.  The first step is a rapid, relatively lo</w:t>
      </w:r>
      <w:r w:rsidR="00BE5D21">
        <w:rPr>
          <w:rFonts w:eastAsia="SimSun" w:cs="Arial"/>
          <w:lang w:eastAsia="zh-CN"/>
        </w:rPr>
        <w:t xml:space="preserve">w cost genotyping assay for 52 of the </w:t>
      </w:r>
      <w:r w:rsidR="00AD5C8D">
        <w:rPr>
          <w:rFonts w:eastAsia="SimSun" w:cs="Arial"/>
          <w:lang w:eastAsia="zh-CN"/>
        </w:rPr>
        <w:t>most common mutations associated w</w:t>
      </w:r>
      <w:r w:rsidR="00BE5D21">
        <w:rPr>
          <w:rFonts w:eastAsia="SimSun" w:cs="Arial"/>
          <w:lang w:eastAsia="zh-CN"/>
        </w:rPr>
        <w:t>ith FH (these mutations are listed in Appendix A</w:t>
      </w:r>
      <w:r w:rsidR="00CA6E66">
        <w:rPr>
          <w:rFonts w:eastAsia="SimSun" w:cs="Arial"/>
          <w:lang w:eastAsia="zh-CN"/>
        </w:rPr>
        <w:t xml:space="preserve"> alongside their frequency of pick up</w:t>
      </w:r>
      <w:r w:rsidR="00BE5D21">
        <w:rPr>
          <w:rFonts w:eastAsia="SimSun" w:cs="Arial"/>
          <w:lang w:eastAsia="zh-CN"/>
        </w:rPr>
        <w:t xml:space="preserve">).  This assay is run on a high throughput </w:t>
      </w:r>
      <w:proofErr w:type="spellStart"/>
      <w:r w:rsidR="00BE5D21">
        <w:rPr>
          <w:rFonts w:eastAsia="SimSun" w:cs="Arial"/>
          <w:lang w:eastAsia="zh-CN"/>
        </w:rPr>
        <w:t>Sequenom</w:t>
      </w:r>
      <w:proofErr w:type="spellEnd"/>
      <w:r w:rsidR="00BE5D21">
        <w:rPr>
          <w:rFonts w:eastAsia="SimSun" w:cs="Arial"/>
          <w:lang w:eastAsia="zh-CN"/>
        </w:rPr>
        <w:t xml:space="preserve">™ MALDI-TOF platform available at </w:t>
      </w:r>
      <w:proofErr w:type="spellStart"/>
      <w:r w:rsidR="00BE5D21">
        <w:rPr>
          <w:rFonts w:eastAsia="SimSun" w:cs="Arial"/>
          <w:lang w:eastAsia="zh-CN"/>
        </w:rPr>
        <w:t>NewGene</w:t>
      </w:r>
      <w:proofErr w:type="spellEnd"/>
      <w:r w:rsidR="00BE5D21">
        <w:rPr>
          <w:rFonts w:eastAsia="SimSun" w:cs="Arial"/>
          <w:lang w:eastAsia="zh-CN"/>
        </w:rPr>
        <w:t xml:space="preserve">.  </w:t>
      </w:r>
    </w:p>
    <w:p w14:paraId="4B1A6CFC" w14:textId="217403C2" w:rsidR="00BE5D21" w:rsidRDefault="00BE5D21" w:rsidP="00886A22">
      <w:pPr>
        <w:spacing w:after="200" w:line="276" w:lineRule="auto"/>
        <w:rPr>
          <w:rFonts w:eastAsia="SimSun" w:cs="Arial"/>
          <w:lang w:eastAsia="zh-CN"/>
        </w:rPr>
      </w:pPr>
      <w:r>
        <w:rPr>
          <w:rFonts w:eastAsia="SimSun" w:cs="Arial"/>
          <w:lang w:eastAsia="zh-CN"/>
        </w:rPr>
        <w:t xml:space="preserve">All patients referred for genetic testing (index cases) </w:t>
      </w:r>
      <w:r w:rsidR="00650083">
        <w:rPr>
          <w:rFonts w:eastAsia="SimSun" w:cs="Arial"/>
          <w:lang w:eastAsia="zh-CN"/>
        </w:rPr>
        <w:t xml:space="preserve">during </w:t>
      </w:r>
      <w:proofErr w:type="spellStart"/>
      <w:r w:rsidR="00650083">
        <w:rPr>
          <w:rFonts w:eastAsia="SimSun" w:cs="Arial"/>
          <w:lang w:eastAsia="zh-CN"/>
        </w:rPr>
        <w:t>theperiod</w:t>
      </w:r>
      <w:proofErr w:type="spellEnd"/>
      <w:r w:rsidR="00650083">
        <w:rPr>
          <w:rFonts w:eastAsia="SimSun" w:cs="Arial"/>
          <w:lang w:eastAsia="zh-CN"/>
        </w:rPr>
        <w:t xml:space="preserve"> June 2014-June 2015 were testing</w:t>
      </w:r>
      <w:r>
        <w:rPr>
          <w:rFonts w:eastAsia="SimSun" w:cs="Arial"/>
          <w:lang w:eastAsia="zh-CN"/>
        </w:rPr>
        <w:t xml:space="preserve"> initially tested using the ‘chip’ assay on </w:t>
      </w:r>
      <w:proofErr w:type="spellStart"/>
      <w:r>
        <w:rPr>
          <w:rFonts w:eastAsia="SimSun" w:cs="Arial"/>
          <w:lang w:eastAsia="zh-CN"/>
        </w:rPr>
        <w:t>Sequenom</w:t>
      </w:r>
      <w:proofErr w:type="spellEnd"/>
      <w:r>
        <w:rPr>
          <w:rFonts w:eastAsia="SimSun" w:cs="Arial"/>
          <w:lang w:eastAsia="zh-CN"/>
        </w:rPr>
        <w:t>™ pl</w:t>
      </w:r>
      <w:r w:rsidR="00650083">
        <w:rPr>
          <w:rFonts w:eastAsia="SimSun" w:cs="Arial"/>
          <w:lang w:eastAsia="zh-CN"/>
        </w:rPr>
        <w:t>atform.  If no mutation was detected using the chip</w:t>
      </w:r>
      <w:r w:rsidR="008E7D39">
        <w:rPr>
          <w:rFonts w:eastAsia="SimSun" w:cs="Arial"/>
          <w:lang w:eastAsia="zh-CN"/>
        </w:rPr>
        <w:t xml:space="preserve"> test on the </w:t>
      </w:r>
      <w:proofErr w:type="spellStart"/>
      <w:r w:rsidR="008E7D39">
        <w:rPr>
          <w:rFonts w:eastAsia="SimSun" w:cs="Arial"/>
          <w:lang w:eastAsia="zh-CN"/>
        </w:rPr>
        <w:t>Sequenom</w:t>
      </w:r>
      <w:proofErr w:type="spellEnd"/>
      <w:r w:rsidR="008E7D39">
        <w:rPr>
          <w:rFonts w:eastAsia="SimSun" w:cs="Arial"/>
          <w:lang w:eastAsia="zh-CN"/>
        </w:rPr>
        <w:t xml:space="preserve"> platform</w:t>
      </w:r>
      <w:r>
        <w:rPr>
          <w:rFonts w:eastAsia="SimSun" w:cs="Arial"/>
          <w:lang w:eastAsia="zh-CN"/>
        </w:rPr>
        <w:t xml:space="preserve">, a multidisciplinary team </w:t>
      </w:r>
      <w:r w:rsidR="008E7D39">
        <w:rPr>
          <w:rFonts w:eastAsia="SimSun" w:cs="Arial"/>
          <w:lang w:eastAsia="zh-CN"/>
        </w:rPr>
        <w:t xml:space="preserve">met to </w:t>
      </w:r>
      <w:r>
        <w:rPr>
          <w:rFonts w:eastAsia="SimSun" w:cs="Arial"/>
          <w:lang w:eastAsia="zh-CN"/>
        </w:rPr>
        <w:t>discu</w:t>
      </w:r>
      <w:r w:rsidR="008E7D39">
        <w:rPr>
          <w:rFonts w:eastAsia="SimSun" w:cs="Arial"/>
          <w:lang w:eastAsia="zh-CN"/>
        </w:rPr>
        <w:t>ss the case and determine whether</w:t>
      </w:r>
      <w:r>
        <w:rPr>
          <w:rFonts w:eastAsia="SimSun" w:cs="Arial"/>
          <w:lang w:eastAsia="zh-CN"/>
        </w:rPr>
        <w:t xml:space="preserve"> further, more comprehensive genetic testing with next generation sequencing </w:t>
      </w:r>
      <w:r w:rsidR="008E7D39">
        <w:rPr>
          <w:rFonts w:eastAsia="SimSun" w:cs="Arial"/>
          <w:lang w:eastAsia="zh-CN"/>
        </w:rPr>
        <w:lastRenderedPageBreak/>
        <w:t>(NGS) was</w:t>
      </w:r>
      <w:r>
        <w:rPr>
          <w:rFonts w:eastAsia="SimSun" w:cs="Arial"/>
          <w:lang w:eastAsia="zh-CN"/>
        </w:rPr>
        <w:t xml:space="preserve"> required.</w:t>
      </w:r>
      <w:r w:rsidR="00650083">
        <w:rPr>
          <w:rFonts w:eastAsia="SimSun" w:cs="Arial"/>
          <w:lang w:eastAsia="zh-CN"/>
        </w:rPr>
        <w:t xml:space="preserve">  </w:t>
      </w:r>
      <w:r w:rsidR="008E7D39">
        <w:rPr>
          <w:rFonts w:eastAsia="SimSun" w:cs="Arial"/>
          <w:lang w:eastAsia="zh-CN"/>
        </w:rPr>
        <w:t xml:space="preserve">If the index case was referred, full genetic testing on the </w:t>
      </w:r>
      <w:proofErr w:type="spellStart"/>
      <w:r w:rsidR="008E7D39">
        <w:rPr>
          <w:rFonts w:eastAsia="SimSun" w:cs="Arial"/>
          <w:lang w:eastAsia="zh-CN"/>
        </w:rPr>
        <w:t>I</w:t>
      </w:r>
      <w:r>
        <w:rPr>
          <w:rFonts w:eastAsia="SimSun" w:cs="Arial"/>
          <w:lang w:eastAsia="zh-CN"/>
        </w:rPr>
        <w:t>llumina</w:t>
      </w:r>
      <w:proofErr w:type="spellEnd"/>
      <w:r>
        <w:rPr>
          <w:rFonts w:eastAsia="SimSun" w:cs="Arial"/>
          <w:lang w:eastAsia="zh-CN"/>
        </w:rPr>
        <w:t xml:space="preserve"> MISEQ</w:t>
      </w:r>
      <w:r w:rsidR="00650083">
        <w:rPr>
          <w:rFonts w:eastAsia="SimSun" w:cs="Arial"/>
          <w:lang w:eastAsia="zh-CN"/>
        </w:rPr>
        <w:t xml:space="preserve"> next generation sequencer </w:t>
      </w:r>
      <w:r w:rsidR="008E7D39">
        <w:rPr>
          <w:rFonts w:eastAsia="SimSun" w:cs="Arial"/>
          <w:lang w:eastAsia="zh-CN"/>
        </w:rPr>
        <w:t xml:space="preserve">was carried out, also at </w:t>
      </w:r>
      <w:proofErr w:type="spellStart"/>
      <w:r w:rsidR="008E7D39">
        <w:rPr>
          <w:rFonts w:eastAsia="SimSun" w:cs="Arial"/>
          <w:lang w:eastAsia="zh-CN"/>
        </w:rPr>
        <w:t>NewGene</w:t>
      </w:r>
      <w:proofErr w:type="spellEnd"/>
      <w:r w:rsidR="008E7D39">
        <w:rPr>
          <w:rFonts w:eastAsia="SimSun" w:cs="Arial"/>
          <w:lang w:eastAsia="zh-CN"/>
        </w:rPr>
        <w:t xml:space="preserve">.  </w:t>
      </w:r>
      <w:r>
        <w:rPr>
          <w:rFonts w:eastAsia="SimSun" w:cs="Arial"/>
          <w:lang w:eastAsia="zh-CN"/>
        </w:rPr>
        <w:t xml:space="preserve">  </w:t>
      </w:r>
    </w:p>
    <w:p w14:paraId="073670A1" w14:textId="66334D8D" w:rsidR="00650083" w:rsidRDefault="00650083" w:rsidP="00650083">
      <w:pPr>
        <w:rPr>
          <w:lang w:eastAsia="zh-CN"/>
        </w:rPr>
      </w:pPr>
      <w:r>
        <w:rPr>
          <w:lang w:eastAsia="zh-CN"/>
        </w:rPr>
        <w:t xml:space="preserve">Retrospective NGS </w:t>
      </w:r>
      <w:r w:rsidR="008E7D39">
        <w:rPr>
          <w:lang w:eastAsia="zh-CN"/>
        </w:rPr>
        <w:t>testing of those index cases</w:t>
      </w:r>
      <w:r>
        <w:rPr>
          <w:lang w:eastAsia="zh-CN"/>
        </w:rPr>
        <w:t xml:space="preserve"> not re</w:t>
      </w:r>
      <w:r w:rsidR="008E7D39">
        <w:rPr>
          <w:lang w:eastAsia="zh-CN"/>
        </w:rPr>
        <w:t xml:space="preserve">ferred for the second stage testing </w:t>
      </w:r>
      <w:r>
        <w:rPr>
          <w:lang w:eastAsia="zh-CN"/>
        </w:rPr>
        <w:t xml:space="preserve">allowed </w:t>
      </w:r>
      <w:r w:rsidR="008E7D39">
        <w:rPr>
          <w:lang w:eastAsia="zh-CN"/>
        </w:rPr>
        <w:t xml:space="preserve">determination of </w:t>
      </w:r>
      <w:r>
        <w:rPr>
          <w:lang w:eastAsia="zh-CN"/>
        </w:rPr>
        <w:t>the sensitivity and specificity of the two-stage ‘chip and seq</w:t>
      </w:r>
      <w:r w:rsidR="008E7D39">
        <w:rPr>
          <w:lang w:eastAsia="zh-CN"/>
        </w:rPr>
        <w:t>uence’ approach</w:t>
      </w:r>
      <w:r>
        <w:rPr>
          <w:lang w:eastAsia="zh-CN"/>
        </w:rPr>
        <w:t xml:space="preserve">.  </w:t>
      </w:r>
    </w:p>
    <w:p w14:paraId="62600270" w14:textId="02C055F4" w:rsidR="0069598C" w:rsidRDefault="008E7D39" w:rsidP="00886A22">
      <w:pPr>
        <w:rPr>
          <w:lang w:eastAsia="zh-CN"/>
        </w:rPr>
      </w:pPr>
      <w:r>
        <w:rPr>
          <w:lang w:eastAsia="zh-CN"/>
        </w:rPr>
        <w:t>Phenotypic d</w:t>
      </w:r>
      <w:r w:rsidR="00650083">
        <w:rPr>
          <w:lang w:eastAsia="zh-CN"/>
        </w:rPr>
        <w:t xml:space="preserve">ata from the genetic testing referral form was combined with the genetic testing results in order to identify opportunities for improvement in the referral process and increasing the pre-test probability.  </w:t>
      </w:r>
    </w:p>
    <w:p w14:paraId="184A5B55" w14:textId="15D93F9F" w:rsidR="0069598C" w:rsidRDefault="0069598C" w:rsidP="0069598C">
      <w:pPr>
        <w:pStyle w:val="Heading2"/>
        <w:rPr>
          <w:lang w:eastAsia="zh-CN"/>
        </w:rPr>
      </w:pPr>
      <w:r>
        <w:rPr>
          <w:lang w:eastAsia="zh-CN"/>
        </w:rPr>
        <w:t>Demographics</w:t>
      </w:r>
    </w:p>
    <w:p w14:paraId="779E7AC8" w14:textId="4A6A7F11" w:rsidR="0069598C" w:rsidRPr="008E7D39" w:rsidRDefault="0069598C" w:rsidP="00886A22">
      <w:pPr>
        <w:rPr>
          <w:lang w:eastAsia="zh-CN"/>
        </w:rPr>
      </w:pPr>
      <w:r>
        <w:rPr>
          <w:lang w:eastAsia="zh-CN"/>
        </w:rPr>
        <w:t xml:space="preserve">Table, age, sex, </w:t>
      </w:r>
    </w:p>
    <w:p w14:paraId="775E2470" w14:textId="56858167" w:rsidR="00F610D9" w:rsidRPr="00F610D9" w:rsidRDefault="00F610D9" w:rsidP="00F610D9">
      <w:pPr>
        <w:pStyle w:val="Heading2"/>
        <w:rPr>
          <w:lang w:eastAsia="zh-CN"/>
        </w:rPr>
      </w:pPr>
      <w:r>
        <w:rPr>
          <w:lang w:eastAsia="zh-CN"/>
        </w:rPr>
        <w:t>Results</w:t>
      </w:r>
    </w:p>
    <w:p w14:paraId="17B848B5" w14:textId="77777777" w:rsidR="008E7D39" w:rsidRDefault="008E7D39" w:rsidP="00CA6E66">
      <w:r>
        <w:t xml:space="preserve">During June 2014-June 2015 </w:t>
      </w:r>
      <w:r w:rsidR="00F610D9">
        <w:t>258</w:t>
      </w:r>
      <w:r>
        <w:t xml:space="preserve"> patients (index cases) across the 13 CCGs of the Northern CCG Forum</w:t>
      </w:r>
      <w:r w:rsidR="00F610D9">
        <w:t xml:space="preserve"> likely to have a mutation </w:t>
      </w:r>
      <w:r w:rsidR="00F610D9">
        <w:rPr>
          <w:lang w:val="en-US" w:eastAsia="en-GB"/>
        </w:rPr>
        <w:t xml:space="preserve">familial </w:t>
      </w:r>
      <w:proofErr w:type="spellStart"/>
      <w:r w:rsidR="00F610D9">
        <w:rPr>
          <w:lang w:val="en-US" w:eastAsia="en-GB"/>
        </w:rPr>
        <w:t>hypercholesterolaemia</w:t>
      </w:r>
      <w:proofErr w:type="spellEnd"/>
      <w:r w:rsidR="00F610D9">
        <w:rPr>
          <w:lang w:val="en-US" w:eastAsia="en-GB"/>
        </w:rPr>
        <w:t xml:space="preserve"> (FH) </w:t>
      </w:r>
      <w:r w:rsidR="00F610D9">
        <w:t xml:space="preserve">underwent genetic testing for FH. </w:t>
      </w:r>
    </w:p>
    <w:p w14:paraId="2E96F6D1" w14:textId="27AE2D83" w:rsidR="008E7D39" w:rsidRDefault="008E7D39" w:rsidP="00CA6E66">
      <w:pPr>
        <w:rPr>
          <w:rFonts w:ascii="F17" w:hAnsi="F17" w:cs="F17"/>
          <w:lang w:val="en-US" w:eastAsia="en-GB"/>
        </w:rPr>
      </w:pPr>
      <w:r>
        <w:t>Of the 258 index cases, 256 were tested with the</w:t>
      </w:r>
      <w:r w:rsidRPr="003022FE">
        <w:t xml:space="preserve"> genotyping</w:t>
      </w:r>
      <w:r>
        <w:t xml:space="preserve"> assay on the </w:t>
      </w:r>
      <w:proofErr w:type="spellStart"/>
      <w:r>
        <w:t>Sequenom</w:t>
      </w:r>
      <w:proofErr w:type="spellEnd"/>
      <w:r>
        <w:t>™ MALDI-TOF platform as the first line of testing in the  ‘chip and sequence’ diagnostic pathway</w:t>
      </w:r>
      <w:r>
        <w:rPr>
          <w:rFonts w:ascii="F17" w:hAnsi="F17" w:cs="F17"/>
          <w:lang w:val="en-US" w:eastAsia="en-GB"/>
        </w:rPr>
        <w:t xml:space="preserve">.  </w:t>
      </w:r>
    </w:p>
    <w:p w14:paraId="29C91196" w14:textId="765A14C5" w:rsidR="008E7D39" w:rsidRDefault="008E7D39" w:rsidP="00CA6E66">
      <w:pPr>
        <w:rPr>
          <w:rFonts w:asciiTheme="minorHAnsi" w:hAnsiTheme="minorHAnsi" w:cs="F17"/>
          <w:lang w:val="en-US" w:eastAsia="en-GB"/>
        </w:rPr>
      </w:pPr>
      <w:r>
        <w:rPr>
          <w:rFonts w:asciiTheme="minorHAnsi" w:hAnsiTheme="minorHAnsi" w:cs="F17"/>
          <w:lang w:val="en-US" w:eastAsia="en-GB"/>
        </w:rPr>
        <w:t>Two of the index cases were immediately tested with next generation sequencing on the basis of the Multidisciplinary team’s (MDT) decision and no mutation associated with FH was detected</w:t>
      </w:r>
      <w:r w:rsidR="004610CA">
        <w:rPr>
          <w:rFonts w:asciiTheme="minorHAnsi" w:hAnsiTheme="minorHAnsi" w:cs="F17"/>
          <w:lang w:val="en-US" w:eastAsia="en-GB"/>
        </w:rPr>
        <w:t xml:space="preserve"> (NMD)</w:t>
      </w:r>
      <w:r>
        <w:rPr>
          <w:rFonts w:asciiTheme="minorHAnsi" w:hAnsiTheme="minorHAnsi" w:cs="F17"/>
          <w:lang w:val="en-US" w:eastAsia="en-GB"/>
        </w:rPr>
        <w:t>.</w:t>
      </w:r>
    </w:p>
    <w:p w14:paraId="3553893D" w14:textId="6014B316" w:rsidR="004610CA" w:rsidRDefault="008E7D39" w:rsidP="00CA6E66">
      <w:pPr>
        <w:rPr>
          <w:rFonts w:asciiTheme="minorHAnsi" w:hAnsiTheme="minorHAnsi" w:cs="F17"/>
          <w:lang w:val="en-US" w:eastAsia="en-GB"/>
        </w:rPr>
      </w:pPr>
      <w:r>
        <w:rPr>
          <w:rFonts w:asciiTheme="minorHAnsi" w:hAnsiTheme="minorHAnsi" w:cs="F17"/>
          <w:lang w:val="en-US" w:eastAsia="en-GB"/>
        </w:rPr>
        <w:t>Of the</w:t>
      </w:r>
      <w:r w:rsidR="00202F0F">
        <w:rPr>
          <w:rFonts w:asciiTheme="minorHAnsi" w:hAnsiTheme="minorHAnsi" w:cs="F17"/>
          <w:lang w:val="en-US" w:eastAsia="en-GB"/>
        </w:rPr>
        <w:t xml:space="preserve"> 256 tested with the chip</w:t>
      </w:r>
      <w:r>
        <w:rPr>
          <w:rFonts w:asciiTheme="minorHAnsi" w:hAnsiTheme="minorHAnsi" w:cs="F17"/>
          <w:lang w:val="en-US" w:eastAsia="en-GB"/>
        </w:rPr>
        <w:t>, 47 (18%) were found to have a mutation known to be associated with FH</w:t>
      </w:r>
      <w:r w:rsidR="004610CA">
        <w:rPr>
          <w:rFonts w:asciiTheme="minorHAnsi" w:hAnsiTheme="minorHAnsi" w:cs="F17"/>
          <w:lang w:val="en-US" w:eastAsia="en-GB"/>
        </w:rPr>
        <w:t xml:space="preserve"> (MD)</w:t>
      </w:r>
      <w:r>
        <w:rPr>
          <w:rFonts w:asciiTheme="minorHAnsi" w:hAnsiTheme="minorHAnsi" w:cs="F17"/>
          <w:lang w:val="en-US" w:eastAsia="en-GB"/>
        </w:rPr>
        <w:t xml:space="preserve">.    </w:t>
      </w:r>
      <w:r w:rsidR="004610CA">
        <w:rPr>
          <w:rFonts w:asciiTheme="minorHAnsi" w:hAnsiTheme="minorHAnsi" w:cs="F17"/>
          <w:lang w:val="en-US" w:eastAsia="en-GB"/>
        </w:rPr>
        <w:t xml:space="preserve">One of these was further sent for full gene sequencing and confirmed to have a mutation.  </w:t>
      </w:r>
    </w:p>
    <w:p w14:paraId="748B6A6C" w14:textId="5C84EEA4" w:rsidR="004610CA" w:rsidRDefault="004610CA" w:rsidP="00CA6E66">
      <w:pPr>
        <w:rPr>
          <w:rFonts w:asciiTheme="minorHAnsi" w:hAnsiTheme="minorHAnsi" w:cs="F17"/>
          <w:lang w:val="en-US" w:eastAsia="en-GB"/>
        </w:rPr>
      </w:pPr>
      <w:r>
        <w:rPr>
          <w:rFonts w:asciiTheme="minorHAnsi" w:hAnsiTheme="minorHAnsi" w:cs="F17"/>
          <w:lang w:val="en-US" w:eastAsia="en-GB"/>
        </w:rPr>
        <w:t xml:space="preserve">The MDT reviewed the remaining 210 cases.  167 of these cases were tested using next generation gene sequencing, of which 43 (26%) were found to have a mutation.  </w:t>
      </w:r>
      <w:r>
        <w:rPr>
          <w:lang w:val="en-US" w:eastAsia="en-GB"/>
        </w:rPr>
        <w:fldChar w:fldCharType="begin"/>
      </w:r>
      <w:r>
        <w:rPr>
          <w:lang w:val="en-US" w:eastAsia="en-GB"/>
        </w:rPr>
        <w:instrText xml:space="preserve"> REF _Ref479594068 \h </w:instrText>
      </w:r>
      <w:r>
        <w:rPr>
          <w:lang w:val="en-US" w:eastAsia="en-GB"/>
        </w:rPr>
      </w:r>
      <w:r>
        <w:rPr>
          <w:lang w:val="en-US" w:eastAsia="en-GB"/>
        </w:rPr>
        <w:fldChar w:fldCharType="separate"/>
      </w:r>
      <w:r>
        <w:t xml:space="preserve">Figure </w:t>
      </w:r>
      <w:r>
        <w:rPr>
          <w:noProof/>
        </w:rPr>
        <w:t>1</w:t>
      </w:r>
      <w:r>
        <w:rPr>
          <w:lang w:val="en-US" w:eastAsia="en-GB"/>
        </w:rPr>
        <w:fldChar w:fldCharType="end"/>
      </w:r>
      <w:r>
        <w:rPr>
          <w:lang w:val="en-US" w:eastAsia="en-GB"/>
        </w:rPr>
        <w:t xml:space="preserve"> shows the testing pathway for the index cases and </w:t>
      </w:r>
      <w:r>
        <w:rPr>
          <w:rFonts w:asciiTheme="minorHAnsi" w:hAnsiTheme="minorHAnsi" w:cs="F17"/>
          <w:lang w:val="en-US" w:eastAsia="en-GB"/>
        </w:rPr>
        <w:fldChar w:fldCharType="begin"/>
      </w:r>
      <w:r>
        <w:rPr>
          <w:rFonts w:asciiTheme="minorHAnsi" w:hAnsiTheme="minorHAnsi" w:cs="F17"/>
          <w:lang w:val="en-US" w:eastAsia="en-GB"/>
        </w:rPr>
        <w:instrText xml:space="preserve"> REF _Ref479595831 \h </w:instrText>
      </w:r>
      <w:r>
        <w:rPr>
          <w:rFonts w:asciiTheme="minorHAnsi" w:hAnsiTheme="minorHAnsi" w:cs="F17"/>
          <w:lang w:val="en-US" w:eastAsia="en-GB"/>
        </w:rPr>
      </w:r>
      <w:r>
        <w:rPr>
          <w:rFonts w:asciiTheme="minorHAnsi" w:hAnsiTheme="minorHAnsi" w:cs="F17"/>
          <w:lang w:val="en-US" w:eastAsia="en-GB"/>
        </w:rPr>
        <w:fldChar w:fldCharType="separate"/>
      </w:r>
      <w:r>
        <w:t xml:space="preserve">Table </w:t>
      </w:r>
      <w:r>
        <w:rPr>
          <w:noProof/>
        </w:rPr>
        <w:t>1</w:t>
      </w:r>
      <w:r>
        <w:rPr>
          <w:rFonts w:asciiTheme="minorHAnsi" w:hAnsiTheme="minorHAnsi" w:cs="F17"/>
          <w:lang w:val="en-US" w:eastAsia="en-GB"/>
        </w:rPr>
        <w:fldChar w:fldCharType="end"/>
      </w:r>
      <w:r>
        <w:rPr>
          <w:rFonts w:asciiTheme="minorHAnsi" w:hAnsiTheme="minorHAnsi" w:cs="F17"/>
          <w:lang w:val="en-US" w:eastAsia="en-GB"/>
        </w:rPr>
        <w:t xml:space="preserve"> </w:t>
      </w:r>
      <w:r w:rsidR="0012635A">
        <w:rPr>
          <w:rFonts w:asciiTheme="minorHAnsi" w:hAnsiTheme="minorHAnsi" w:cs="F17"/>
          <w:lang w:val="en-US" w:eastAsia="en-GB"/>
        </w:rPr>
        <w:t>summarizes</w:t>
      </w:r>
      <w:r>
        <w:rPr>
          <w:rFonts w:asciiTheme="minorHAnsi" w:hAnsiTheme="minorHAnsi" w:cs="F17"/>
          <w:lang w:val="en-US" w:eastAsia="en-GB"/>
        </w:rPr>
        <w:t xml:space="preserve"> the index cases results.</w:t>
      </w:r>
    </w:p>
    <w:p w14:paraId="0839B5A4" w14:textId="6918C442" w:rsidR="00F610D9" w:rsidRDefault="00F610D9" w:rsidP="00F610D9">
      <w:pPr>
        <w:pStyle w:val="Heading2"/>
        <w:rPr>
          <w:lang w:val="en-US" w:eastAsia="en-GB"/>
        </w:rPr>
      </w:pPr>
      <w:r>
        <w:rPr>
          <w:lang w:val="en-US" w:eastAsia="en-GB"/>
        </w:rPr>
        <w:t xml:space="preserve">Accuracy of </w:t>
      </w:r>
      <w:r w:rsidR="004610CA">
        <w:rPr>
          <w:lang w:val="en-US" w:eastAsia="en-GB"/>
        </w:rPr>
        <w:t>‘chip and sequence’ diagnostic pathway</w:t>
      </w:r>
    </w:p>
    <w:p w14:paraId="28FA0F53" w14:textId="6C6BAA34" w:rsidR="00F610D9" w:rsidRDefault="00F610D9" w:rsidP="00F610D9">
      <w:pPr>
        <w:pStyle w:val="NoSpacing"/>
        <w:rPr>
          <w:rFonts w:asciiTheme="minorHAnsi" w:hAnsiTheme="minorHAnsi" w:cs="F17"/>
          <w:lang w:val="en-US" w:eastAsia="en-GB"/>
        </w:rPr>
      </w:pPr>
      <w:r>
        <w:rPr>
          <w:rFonts w:asciiTheme="minorHAnsi" w:hAnsiTheme="minorHAnsi" w:cs="F17"/>
          <w:lang w:val="en-US" w:eastAsia="en-GB"/>
        </w:rPr>
        <w:t xml:space="preserve">To assess the accuracy of the two </w:t>
      </w:r>
      <w:proofErr w:type="gramStart"/>
      <w:r>
        <w:rPr>
          <w:rFonts w:asciiTheme="minorHAnsi" w:hAnsiTheme="minorHAnsi" w:cs="F17"/>
          <w:lang w:val="en-US" w:eastAsia="en-GB"/>
        </w:rPr>
        <w:t>stage</w:t>
      </w:r>
      <w:proofErr w:type="gramEnd"/>
      <w:r>
        <w:rPr>
          <w:rFonts w:asciiTheme="minorHAnsi" w:hAnsiTheme="minorHAnsi" w:cs="F17"/>
          <w:lang w:val="en-US" w:eastAsia="en-GB"/>
        </w:rPr>
        <w:t xml:space="preserve"> testing process, 41 of the remaining 42 index cases were retrospectively tested for a mutation and it was found that 2 index cases with mutations associated with FH were missed </w:t>
      </w:r>
      <w:r w:rsidR="004610CA">
        <w:rPr>
          <w:rFonts w:asciiTheme="minorHAnsi" w:hAnsiTheme="minorHAnsi" w:cs="F17"/>
          <w:lang w:val="en-US" w:eastAsia="en-GB"/>
        </w:rPr>
        <w:t xml:space="preserve">with the two-stage ‘chip and sequence’ diagnostic approach.  </w:t>
      </w:r>
    </w:p>
    <w:p w14:paraId="2B375543" w14:textId="775E676D" w:rsidR="00F610D9" w:rsidRDefault="004610CA" w:rsidP="00F610D9">
      <w:r>
        <w:t xml:space="preserve">The sensitivity and specificity of the ‘chip and sequence’ diagnostic pathway are </w:t>
      </w:r>
      <w:commentRangeStart w:id="2"/>
      <w:r>
        <w:t xml:space="preserve">97.5% (95% CI: </w:t>
      </w:r>
      <w:commentRangeEnd w:id="2"/>
      <w:r w:rsidR="00FA051E">
        <w:rPr>
          <w:rStyle w:val="CommentReference"/>
        </w:rPr>
        <w:commentReference w:id="2"/>
      </w:r>
      <w:r>
        <w:t>96.0% - 99.6%) and 100% respectively</w:t>
      </w:r>
      <w:r w:rsidR="0012635A">
        <w:t xml:space="preserve"> (see </w:t>
      </w:r>
      <w:r w:rsidR="0012635A">
        <w:fldChar w:fldCharType="begin"/>
      </w:r>
      <w:r w:rsidR="0012635A">
        <w:instrText xml:space="preserve"> REF _Ref356121862 \h </w:instrText>
      </w:r>
      <w:r w:rsidR="0012635A">
        <w:fldChar w:fldCharType="separate"/>
      </w:r>
      <w:r w:rsidR="0012635A">
        <w:t xml:space="preserve">Table </w:t>
      </w:r>
      <w:r w:rsidR="0012635A">
        <w:rPr>
          <w:noProof/>
        </w:rPr>
        <w:t>2</w:t>
      </w:r>
      <w:r w:rsidR="0012635A">
        <w:fldChar w:fldCharType="end"/>
      </w:r>
      <w:r w:rsidR="0012635A">
        <w:t xml:space="preserve"> for the contingency table)</w:t>
      </w:r>
      <w:r>
        <w:t xml:space="preserve">.  </w:t>
      </w:r>
    </w:p>
    <w:p w14:paraId="04CEB78C" w14:textId="667846D0" w:rsidR="00F610D9" w:rsidRPr="001C74A9" w:rsidRDefault="00FA051E" w:rsidP="00F610D9">
      <w:r>
        <w:t xml:space="preserve">The index </w:t>
      </w:r>
      <w:proofErr w:type="gramStart"/>
      <w:r>
        <w:t>case which did not undergo full genetic testing</w:t>
      </w:r>
      <w:proofErr w:type="gramEnd"/>
      <w:r>
        <w:t xml:space="preserve"> was removed from this analysis.  </w:t>
      </w:r>
    </w:p>
    <w:p w14:paraId="247F1053" w14:textId="069E7E7B" w:rsidR="00F610D9" w:rsidRDefault="00F610D9" w:rsidP="00F610D9">
      <w:pPr>
        <w:pStyle w:val="Heading2"/>
      </w:pPr>
      <w:r>
        <w:t>Cost</w:t>
      </w:r>
      <w:r w:rsidR="0069598C">
        <w:t xml:space="preserve"> of testing</w:t>
      </w:r>
    </w:p>
    <w:p w14:paraId="2EAE0F62" w14:textId="3DFEE3F4" w:rsidR="00FA051E" w:rsidRDefault="00FA051E" w:rsidP="00CA6E66">
      <w:r>
        <w:t xml:space="preserve">The cost of the first stage ‘chip’ test was £100 whereas the cost of the second stage ‘sequence’ test was £400.  These costs were correct at the time of the project and quoted by the testing laboratory, </w:t>
      </w:r>
      <w:proofErr w:type="spellStart"/>
      <w:r>
        <w:t>NewGene</w:t>
      </w:r>
      <w:proofErr w:type="spellEnd"/>
      <w:r>
        <w:t xml:space="preserve">.  </w:t>
      </w:r>
    </w:p>
    <w:p w14:paraId="0C1AB52E" w14:textId="16573FB0" w:rsidR="004A3FEC" w:rsidRDefault="00FA051E" w:rsidP="00CA6E66">
      <w:r>
        <w:t>If all patients were to undergo full gene sequencing, the</w:t>
      </w:r>
      <w:r w:rsidR="004A3FEC">
        <w:t xml:space="preserve"> cost for the full cohort of 256 patients the cost of testing </w:t>
      </w:r>
      <w:r w:rsidR="0012635A">
        <w:t>would be</w:t>
      </w:r>
      <w:r>
        <w:t xml:space="preserve"> £</w:t>
      </w:r>
      <w:r w:rsidR="004A3FEC">
        <w:t>102,400</w:t>
      </w:r>
      <w:r w:rsidR="0012635A">
        <w:t xml:space="preserve"> (see </w:t>
      </w:r>
      <w:r w:rsidR="0012635A">
        <w:fldChar w:fldCharType="begin"/>
      </w:r>
      <w:r w:rsidR="0012635A">
        <w:instrText xml:space="preserve"> REF _Ref356121584 \h </w:instrText>
      </w:r>
      <w:r w:rsidR="0012635A">
        <w:fldChar w:fldCharType="separate"/>
      </w:r>
      <w:r w:rsidR="0012635A">
        <w:t xml:space="preserve">Table </w:t>
      </w:r>
      <w:r w:rsidR="0012635A">
        <w:rPr>
          <w:noProof/>
        </w:rPr>
        <w:t>3</w:t>
      </w:r>
      <w:r w:rsidR="0012635A">
        <w:fldChar w:fldCharType="end"/>
      </w:r>
      <w:r w:rsidR="0012635A">
        <w:t xml:space="preserve"> for a full breakdown of costs)</w:t>
      </w:r>
      <w:r w:rsidR="004A3FEC">
        <w:t>.  The chip and sequence approach realises a saving of £10,000 for the full cohort and £42 per index case.</w:t>
      </w:r>
    </w:p>
    <w:p w14:paraId="30D3F602" w14:textId="77777777" w:rsidR="00FA051E" w:rsidRDefault="00FA051E" w:rsidP="00CA6E66"/>
    <w:p w14:paraId="17B29AA4" w14:textId="131CC11A" w:rsidR="00F610D9" w:rsidRDefault="0069598C" w:rsidP="00CA6E66">
      <w:r>
        <w:lastRenderedPageBreak/>
        <w:t>The cost savings are largely driven by the prevalence of mutation positive index cases (</w:t>
      </w:r>
      <w:proofErr w:type="spellStart"/>
      <w:r>
        <w:t>probands</w:t>
      </w:r>
      <w:proofErr w:type="spellEnd"/>
      <w:r>
        <w:t xml:space="preserve">) in the cohort.  </w:t>
      </w:r>
      <w:r>
        <w:fldChar w:fldCharType="begin"/>
      </w:r>
      <w:r>
        <w:instrText xml:space="preserve"> REF _Ref356119145 \h </w:instrText>
      </w:r>
      <w:r>
        <w:fldChar w:fldCharType="separate"/>
      </w:r>
      <w:r>
        <w:t xml:space="preserve">Figure </w:t>
      </w:r>
      <w:r>
        <w:rPr>
          <w:noProof/>
        </w:rPr>
        <w:t>2</w:t>
      </w:r>
      <w:r>
        <w:fldChar w:fldCharType="end"/>
      </w:r>
      <w:r>
        <w:t xml:space="preserve"> illustrates that with the current cost of the tests quoted for this manuscript, the two-step chip and sequence diagnostic pathway will be cost saving when the prevalence of FH in the cohort undergoing testing is greater than ~25%.  The savings continue to increase as the prevalence of FH increases.  </w:t>
      </w:r>
    </w:p>
    <w:p w14:paraId="5128CC79" w14:textId="1C57763F" w:rsidR="0069598C" w:rsidRDefault="0069598C" w:rsidP="00CA6E66">
      <w:r>
        <w:t>The prevalence of FH in this study was 36% therefore further savings could be accrued if this was increased.</w:t>
      </w:r>
    </w:p>
    <w:p w14:paraId="2772E390" w14:textId="0C441CE7" w:rsidR="00FA051E" w:rsidRDefault="00FA051E" w:rsidP="002A15D3">
      <w:pPr>
        <w:pStyle w:val="Heading2"/>
      </w:pPr>
      <w:proofErr w:type="gramStart"/>
      <w:r>
        <w:t>Opportunities for improving</w:t>
      </w:r>
      <w:r w:rsidR="00C36469">
        <w:t xml:space="preserve"> the genetic testing referral criteria</w:t>
      </w:r>
      <w:r>
        <w:t>.</w:t>
      </w:r>
      <w:proofErr w:type="gramEnd"/>
      <w:r>
        <w:t xml:space="preserve">  </w:t>
      </w:r>
    </w:p>
    <w:p w14:paraId="343BB552" w14:textId="1B329916" w:rsidR="00FA051E" w:rsidRDefault="00C36469" w:rsidP="00FA051E">
      <w:r>
        <w:t>The current referral criteria used is based on phenotypic scoring system the Dutch Lipid Clinic Network Score (DLCNS) REF.  The DLCNS is a validated set of criteria based on the patients family history of premature cardiovascular disease (CVD</w:t>
      </w:r>
      <w:proofErr w:type="gramStart"/>
      <w:r>
        <w:t>) ,</w:t>
      </w:r>
      <w:proofErr w:type="gramEnd"/>
      <w:r>
        <w:t xml:space="preserve"> their own CVD history, physical signs such as the presence of tendon </w:t>
      </w:r>
      <w:proofErr w:type="spellStart"/>
      <w:r>
        <w:t>xanthomas</w:t>
      </w:r>
      <w:proofErr w:type="spellEnd"/>
      <w:r>
        <w:t xml:space="preserve"> or </w:t>
      </w:r>
      <w:proofErr w:type="spellStart"/>
      <w:r>
        <w:t>arcus</w:t>
      </w:r>
      <w:proofErr w:type="spellEnd"/>
      <w:r>
        <w:t xml:space="preserve"> </w:t>
      </w:r>
      <w:proofErr w:type="spellStart"/>
      <w:r>
        <w:t>cornealis</w:t>
      </w:r>
      <w:proofErr w:type="spellEnd"/>
      <w:r>
        <w:t xml:space="preserve"> and their untreated and fasting LDL cholesterol levels (LDLC).  </w:t>
      </w:r>
    </w:p>
    <w:p w14:paraId="5F4CECC0" w14:textId="77777777" w:rsidR="00C36469" w:rsidRDefault="00C36469" w:rsidP="00FA051E">
      <w:r>
        <w:t xml:space="preserve">DLCNS results were available for 254 of the index cases, 91 with a mutation detected and 163 with no mutation detected.  The boxplot in </w:t>
      </w:r>
      <w:r>
        <w:fldChar w:fldCharType="begin"/>
      </w:r>
      <w:r>
        <w:instrText xml:space="preserve"> REF _Ref356122739 \h </w:instrText>
      </w:r>
      <w:r>
        <w:fldChar w:fldCharType="separate"/>
      </w:r>
      <w:r>
        <w:t xml:space="preserve">Figure </w:t>
      </w:r>
      <w:r>
        <w:rPr>
          <w:noProof/>
        </w:rPr>
        <w:t>4</w:t>
      </w:r>
      <w:r>
        <w:fldChar w:fldCharType="end"/>
      </w:r>
      <w:r>
        <w:t xml:space="preserve"> illustrates that there is a slight correlation between an increased DLCNS and index cases with a mutation detected (RSQUARED VALUE). </w:t>
      </w:r>
    </w:p>
    <w:p w14:paraId="5C57752B" w14:textId="55EBCBE7" w:rsidR="00C36469" w:rsidRDefault="00C36469" w:rsidP="00FA051E">
      <w:r>
        <w:t xml:space="preserve">The specific LDLC </w:t>
      </w:r>
      <w:proofErr w:type="spellStart"/>
      <w:r>
        <w:t>cutoffs</w:t>
      </w:r>
      <w:proofErr w:type="spellEnd"/>
      <w:r>
        <w:t xml:space="preserve"> applied in the DLCNS </w:t>
      </w:r>
      <w:proofErr w:type="spellStart"/>
      <w:r>
        <w:t>critera</w:t>
      </w:r>
      <w:proofErr w:type="spellEnd"/>
      <w:r>
        <w:t xml:space="preserve"> are independent of age and </w:t>
      </w:r>
      <w:proofErr w:type="gramStart"/>
      <w:r>
        <w:t>gender,</w:t>
      </w:r>
      <w:proofErr w:type="gramEnd"/>
      <w:r>
        <w:t xml:space="preserve"> therefore their diagnostic yield may vary according to these factors.  The scoring criteria and therefore the </w:t>
      </w:r>
      <w:proofErr w:type="spellStart"/>
      <w:r>
        <w:t>pretest</w:t>
      </w:r>
      <w:proofErr w:type="spellEnd"/>
      <w:r>
        <w:t xml:space="preserve"> probability of FH may be increased by the use of age and </w:t>
      </w:r>
      <w:proofErr w:type="spellStart"/>
      <w:r>
        <w:t>gener</w:t>
      </w:r>
      <w:proofErr w:type="spellEnd"/>
      <w:r>
        <w:t xml:space="preserve"> related LDLC centile thresholds based on nationally representative general population data.  </w:t>
      </w:r>
    </w:p>
    <w:p w14:paraId="07294940" w14:textId="51FA4AD6" w:rsidR="00C36469" w:rsidRDefault="00C36469" w:rsidP="00C36469">
      <w:pPr>
        <w:pStyle w:val="Heading2"/>
      </w:pPr>
      <w:r>
        <w:t>Derivation of age and gender related centiles</w:t>
      </w:r>
    </w:p>
    <w:p w14:paraId="5124CFEC" w14:textId="79422749" w:rsidR="00C36469" w:rsidRPr="00C36469" w:rsidRDefault="00C36469" w:rsidP="00C36469">
      <w:r>
        <w:t xml:space="preserve">SEPARATE PAPER.  </w:t>
      </w:r>
      <w:proofErr w:type="gramStart"/>
      <w:r>
        <w:t>APPLICATION TO THIS COHORT.</w:t>
      </w:r>
      <w:proofErr w:type="gramEnd"/>
      <w:r>
        <w:t xml:space="preserve">  </w:t>
      </w:r>
      <w:bookmarkStart w:id="3" w:name="_GoBack"/>
      <w:bookmarkEnd w:id="3"/>
    </w:p>
    <w:p w14:paraId="0CE391D4" w14:textId="2523754B" w:rsidR="00C36469" w:rsidRDefault="00C36469" w:rsidP="00FA051E">
      <w:r>
        <w:t xml:space="preserve">  </w:t>
      </w:r>
    </w:p>
    <w:p w14:paraId="17398B50" w14:textId="77777777" w:rsidR="00C36469" w:rsidRDefault="00C36469" w:rsidP="00FA051E"/>
    <w:p w14:paraId="15A242A6" w14:textId="77777777" w:rsidR="00C36469" w:rsidRPr="00FA051E" w:rsidRDefault="00C36469" w:rsidP="00FA051E"/>
    <w:p w14:paraId="405DD76D" w14:textId="0D71EC9E" w:rsidR="00FA051E" w:rsidRDefault="00FA051E" w:rsidP="002A15D3">
      <w:pPr>
        <w:pStyle w:val="Heading2"/>
      </w:pPr>
      <w:r>
        <w:t>Limitations</w:t>
      </w:r>
    </w:p>
    <w:p w14:paraId="01AAB86D" w14:textId="130E512C" w:rsidR="00FA051E" w:rsidRDefault="00FA051E" w:rsidP="00FA051E">
      <w:r>
        <w:t xml:space="preserve">Did not take into account time difference in result availability </w:t>
      </w:r>
    </w:p>
    <w:p w14:paraId="274CC367" w14:textId="46F105A8" w:rsidR="00FA051E" w:rsidRPr="00FA051E" w:rsidRDefault="00FA051E" w:rsidP="00FA051E">
      <w:r>
        <w:t xml:space="preserve">Full cost-effectiveness analysis needs done </w:t>
      </w:r>
    </w:p>
    <w:p w14:paraId="6B1E3A2D" w14:textId="77777777" w:rsidR="00FA051E" w:rsidRDefault="00FA051E" w:rsidP="002A15D3">
      <w:pPr>
        <w:pStyle w:val="Heading2"/>
      </w:pPr>
    </w:p>
    <w:p w14:paraId="1AE33E41" w14:textId="7239D94E" w:rsidR="00C17D7B" w:rsidRDefault="00C17D7B" w:rsidP="002A15D3">
      <w:pPr>
        <w:pStyle w:val="Heading2"/>
      </w:pPr>
      <w:r>
        <w:t>Demographic data</w:t>
      </w:r>
    </w:p>
    <w:p w14:paraId="1AD8057A" w14:textId="2FF6B460" w:rsidR="00C17D7B" w:rsidRDefault="00FA20A7" w:rsidP="001E52A2">
      <w:pPr>
        <w:jc w:val="center"/>
      </w:pPr>
      <w:r>
        <w:rPr>
          <w:noProof/>
          <w:lang w:val="en-US"/>
        </w:rPr>
        <w:drawing>
          <wp:inline distT="0" distB="0" distL="0" distR="0" wp14:anchorId="4B246672" wp14:editId="26729823">
            <wp:extent cx="2238375"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age.png"/>
                    <pic:cNvPicPr/>
                  </pic:nvPicPr>
                  <pic:blipFill>
                    <a:blip r:embed="rId11">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6A201E4" w14:textId="7FAF5BF4" w:rsidR="002A15D3" w:rsidRDefault="002A15D3" w:rsidP="002A15D3">
      <w:pPr>
        <w:jc w:val="center"/>
      </w:pPr>
    </w:p>
    <w:p w14:paraId="08BE18BC" w14:textId="060AF9BB" w:rsidR="002A15D3" w:rsidRDefault="002A15D3" w:rsidP="002A15D3">
      <w:pPr>
        <w:pStyle w:val="Heading3"/>
      </w:pPr>
      <w:r>
        <w:t>Dutch Lipid Clinic Network Score</w:t>
      </w:r>
    </w:p>
    <w:p w14:paraId="5AABA5F8" w14:textId="6088C52B" w:rsidR="002A15D3" w:rsidRPr="002A15D3" w:rsidRDefault="00FA20A7" w:rsidP="00FA20A7">
      <w:pPr>
        <w:jc w:val="center"/>
      </w:pPr>
      <w:r>
        <w:rPr>
          <w:noProof/>
          <w:lang w:val="en-US"/>
        </w:rPr>
        <w:drawing>
          <wp:inline distT="0" distB="0" distL="0" distR="0" wp14:anchorId="7A00F076" wp14:editId="4582CE72">
            <wp:extent cx="5731510" cy="38912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utchsc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7A2259B0" w14:textId="7541FACB" w:rsidR="00B45B01" w:rsidRDefault="00B45B01" w:rsidP="00B45B01">
      <w:pPr>
        <w:pStyle w:val="Heading3"/>
      </w:pPr>
      <w:r>
        <w:lastRenderedPageBreak/>
        <w:t>Fasting lipid profile results used for diagnosis</w:t>
      </w:r>
    </w:p>
    <w:p w14:paraId="12D7A0D6" w14:textId="38CAFE81" w:rsidR="00B45B01" w:rsidRDefault="00B45B01" w:rsidP="003022FE">
      <w:pPr>
        <w:pStyle w:val="NoSpacing"/>
      </w:pPr>
      <w:r>
        <w:rPr>
          <w:noProof/>
          <w:lang w:val="en-US"/>
        </w:rPr>
        <w:drawing>
          <wp:inline distT="0" distB="0" distL="0" distR="0" wp14:anchorId="5E926FE8" wp14:editId="6B242A08">
            <wp:extent cx="5731510" cy="64528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lestero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52870"/>
                    </a:xfrm>
                    <a:prstGeom prst="rect">
                      <a:avLst/>
                    </a:prstGeom>
                  </pic:spPr>
                </pic:pic>
              </a:graphicData>
            </a:graphic>
          </wp:inline>
        </w:drawing>
      </w:r>
    </w:p>
    <w:p w14:paraId="137E76E1" w14:textId="2D983982" w:rsidR="00193A0E" w:rsidRPr="008B1F34" w:rsidRDefault="00193A0E">
      <w:pPr>
        <w:spacing w:before="0" w:after="0" w:line="240" w:lineRule="auto"/>
      </w:pPr>
      <w:r>
        <w:br w:type="page"/>
      </w:r>
    </w:p>
    <w:p w14:paraId="2BCE9916" w14:textId="47BC851B" w:rsidR="003C2F94" w:rsidRPr="003C2F94" w:rsidRDefault="00267D73" w:rsidP="006341D2">
      <w:pPr>
        <w:pStyle w:val="Heading2"/>
      </w:pPr>
      <w:r>
        <w:lastRenderedPageBreak/>
        <w:t>Potential o</w:t>
      </w:r>
      <w:r w:rsidR="00FA2F11">
        <w:t>pportunities for refining the two-step testing strategy</w:t>
      </w:r>
    </w:p>
    <w:p w14:paraId="2F8B05F2" w14:textId="1F87793A" w:rsidR="00FA2F11" w:rsidRPr="00FA2F11" w:rsidRDefault="006341D2" w:rsidP="006341D2">
      <w:pPr>
        <w:autoSpaceDE w:val="0"/>
        <w:autoSpaceDN w:val="0"/>
        <w:adjustRightInd w:val="0"/>
        <w:spacing w:before="0" w:after="0" w:line="240" w:lineRule="auto"/>
        <w:rPr>
          <w:rFonts w:asciiTheme="minorHAnsi" w:hAnsiTheme="minorHAnsi" w:cs="F17"/>
          <w:lang w:val="en-US" w:eastAsia="en-GB"/>
        </w:rPr>
      </w:pPr>
      <w:r>
        <w:rPr>
          <w:rFonts w:asciiTheme="minorHAnsi" w:hAnsiTheme="minorHAnsi" w:cs="F17"/>
          <w:lang w:val="en-US" w:eastAsia="en-GB"/>
        </w:rPr>
        <w:t>O</w:t>
      </w:r>
      <w:r w:rsidR="00346460">
        <w:rPr>
          <w:rFonts w:asciiTheme="minorHAnsi" w:hAnsiTheme="minorHAnsi" w:cs="F17"/>
          <w:lang w:val="en-US" w:eastAsia="en-GB"/>
        </w:rPr>
        <w:t>pportunities originally identified</w:t>
      </w:r>
      <w:r>
        <w:rPr>
          <w:rFonts w:asciiTheme="minorHAnsi" w:hAnsiTheme="minorHAnsi" w:cs="F17"/>
          <w:lang w:val="en-US" w:eastAsia="en-GB"/>
        </w:rPr>
        <w:t xml:space="preserve"> </w:t>
      </w:r>
      <w:r w:rsidR="00FA2F11">
        <w:rPr>
          <w:rFonts w:asciiTheme="minorHAnsi" w:hAnsiTheme="minorHAnsi" w:cs="F17"/>
          <w:lang w:val="en-US" w:eastAsia="en-GB"/>
        </w:rPr>
        <w:t>for further effi</w:t>
      </w:r>
      <w:r w:rsidR="00FA2F11" w:rsidRPr="00FA2F11">
        <w:rPr>
          <w:rFonts w:asciiTheme="minorHAnsi" w:hAnsiTheme="minorHAnsi" w:cs="F17"/>
          <w:lang w:val="en-US" w:eastAsia="en-GB"/>
        </w:rPr>
        <w:t xml:space="preserve">ciency improvements </w:t>
      </w:r>
      <w:r>
        <w:rPr>
          <w:rFonts w:asciiTheme="minorHAnsi" w:hAnsiTheme="minorHAnsi" w:cs="F17"/>
          <w:lang w:val="en-US" w:eastAsia="en-GB"/>
        </w:rPr>
        <w:t>were</w:t>
      </w:r>
    </w:p>
    <w:p w14:paraId="036FD98D" w14:textId="3F672893"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scoring physical signs of </w:t>
      </w:r>
      <w:proofErr w:type="spellStart"/>
      <w:r w:rsidRPr="00FA2F11">
        <w:rPr>
          <w:rFonts w:asciiTheme="minorHAnsi" w:hAnsiTheme="minorHAnsi" w:cs="F17"/>
          <w:lang w:val="en-US" w:eastAsia="en-GB"/>
        </w:rPr>
        <w:t>hypercholesterolaemia</w:t>
      </w:r>
      <w:proofErr w:type="spellEnd"/>
      <w:r w:rsidRPr="00FA2F11">
        <w:rPr>
          <w:rFonts w:asciiTheme="minorHAnsi" w:hAnsiTheme="minorHAnsi" w:cs="F17"/>
          <w:lang w:val="en-US" w:eastAsia="en-GB"/>
        </w:rPr>
        <w:t>,</w:t>
      </w:r>
    </w:p>
    <w:p w14:paraId="74F9B862" w14:textId="3D0B02F2"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taking account of the effect of age on lipid levels,</w:t>
      </w:r>
    </w:p>
    <w:p w14:paraId="2B23705A" w14:textId="01151136"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validating MDT assessments,</w:t>
      </w:r>
    </w:p>
    <w:p w14:paraId="749D8B94" w14:textId="4BEF9FDE"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risk scoring for polygenic </w:t>
      </w:r>
      <w:proofErr w:type="spellStart"/>
      <w:r w:rsidRPr="00FA2F11">
        <w:rPr>
          <w:rFonts w:asciiTheme="minorHAnsi" w:hAnsiTheme="minorHAnsi" w:cs="F17"/>
          <w:lang w:val="en-US" w:eastAsia="en-GB"/>
        </w:rPr>
        <w:t>hypercholesterolaemia</w:t>
      </w:r>
      <w:proofErr w:type="spellEnd"/>
      <w:r w:rsidRPr="00FA2F11">
        <w:rPr>
          <w:rFonts w:asciiTheme="minorHAnsi" w:hAnsiTheme="minorHAnsi" w:cs="F17"/>
          <w:lang w:val="en-US" w:eastAsia="en-GB"/>
        </w:rPr>
        <w:t xml:space="preserve"> - gene sequencing would not be indicated with high LDL SNP score relative to measured LDL-C,</w:t>
      </w:r>
    </w:p>
    <w:p w14:paraId="5B0096F0" w14:textId="3CA383E0"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reducing the number of mutations which are not reported frequently on UK PASS</w:t>
      </w:r>
    </w:p>
    <w:p w14:paraId="40AB5DDD" w14:textId="77777777" w:rsidR="00FA2F11" w:rsidRPr="00FA2F11" w:rsidRDefault="00FA2F11" w:rsidP="00FA2F11">
      <w:pPr>
        <w:pStyle w:val="ListParagraph"/>
        <w:autoSpaceDE w:val="0"/>
        <w:autoSpaceDN w:val="0"/>
        <w:adjustRightInd w:val="0"/>
        <w:spacing w:before="0" w:after="0" w:line="240" w:lineRule="auto"/>
        <w:rPr>
          <w:rFonts w:asciiTheme="minorHAnsi" w:hAnsiTheme="minorHAnsi" w:cs="F17"/>
          <w:lang w:val="en-US" w:eastAsia="en-GB"/>
        </w:rPr>
      </w:pPr>
      <w:proofErr w:type="gramStart"/>
      <w:r w:rsidRPr="00FA2F11">
        <w:rPr>
          <w:rFonts w:asciiTheme="minorHAnsi" w:hAnsiTheme="minorHAnsi" w:cs="F17"/>
          <w:lang w:val="en-US" w:eastAsia="en-GB"/>
        </w:rPr>
        <w:t>database</w:t>
      </w:r>
      <w:proofErr w:type="gramEnd"/>
      <w:r w:rsidRPr="00FA2F11">
        <w:rPr>
          <w:rFonts w:asciiTheme="minorHAnsi" w:hAnsiTheme="minorHAnsi" w:cs="F17"/>
          <w:lang w:val="en-US" w:eastAsia="en-GB"/>
        </w:rPr>
        <w:t>,</w:t>
      </w:r>
    </w:p>
    <w:p w14:paraId="795CAAB8" w14:textId="6F52BD0E"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proofErr w:type="gramStart"/>
      <w:r w:rsidRPr="00FA2F11">
        <w:rPr>
          <w:rFonts w:asciiTheme="minorHAnsi" w:hAnsiTheme="minorHAnsi" w:cs="F17"/>
          <w:lang w:val="en-US" w:eastAsia="en-GB"/>
        </w:rPr>
        <w:t>adapting</w:t>
      </w:r>
      <w:proofErr w:type="gramEnd"/>
      <w:r w:rsidRPr="00FA2F11">
        <w:rPr>
          <w:rFonts w:asciiTheme="minorHAnsi" w:hAnsiTheme="minorHAnsi" w:cs="F17"/>
          <w:lang w:val="en-US" w:eastAsia="en-GB"/>
        </w:rPr>
        <w:t xml:space="preserve"> the set of mutations used in </w:t>
      </w:r>
      <w:proofErr w:type="spellStart"/>
      <w:r w:rsidRPr="00FA2F11">
        <w:rPr>
          <w:rFonts w:asciiTheme="minorHAnsi" w:hAnsiTheme="minorHAnsi" w:cs="F17"/>
          <w:lang w:val="en-US" w:eastAsia="en-GB"/>
        </w:rPr>
        <w:t>Sequenom</w:t>
      </w:r>
      <w:proofErr w:type="spellEnd"/>
      <w:r w:rsidRPr="00FA2F11">
        <w:rPr>
          <w:rFonts w:asciiTheme="minorHAnsi" w:hAnsiTheme="minorHAnsi" w:cs="F17"/>
          <w:lang w:val="en-US" w:eastAsia="en-GB"/>
        </w:rPr>
        <w:t xml:space="preserve"> testing as the </w:t>
      </w:r>
      <w:proofErr w:type="spellStart"/>
      <w:r w:rsidRPr="00FA2F11">
        <w:rPr>
          <w:rFonts w:asciiTheme="minorHAnsi" w:hAnsiTheme="minorHAnsi" w:cs="F17"/>
          <w:lang w:val="en-US" w:eastAsia="en-GB"/>
        </w:rPr>
        <w:t>prevalences</w:t>
      </w:r>
      <w:proofErr w:type="spellEnd"/>
      <w:r w:rsidRPr="00FA2F11">
        <w:rPr>
          <w:rFonts w:asciiTheme="minorHAnsi" w:hAnsiTheme="minorHAnsi" w:cs="F17"/>
          <w:lang w:val="en-US" w:eastAsia="en-GB"/>
        </w:rPr>
        <w:t xml:space="preserve"> of mutations</w:t>
      </w:r>
      <w:r>
        <w:rPr>
          <w:rFonts w:asciiTheme="minorHAnsi" w:hAnsiTheme="minorHAnsi" w:cs="F17"/>
          <w:lang w:val="en-US" w:eastAsia="en-GB"/>
        </w:rPr>
        <w:t xml:space="preserve"> </w:t>
      </w:r>
      <w:r w:rsidRPr="00FA2F11">
        <w:rPr>
          <w:rFonts w:asciiTheme="minorHAnsi" w:hAnsiTheme="minorHAnsi" w:cs="F17"/>
          <w:lang w:val="en-US" w:eastAsia="en-GB"/>
        </w:rPr>
        <w:t>in populations of interest becomes better known.</w:t>
      </w:r>
    </w:p>
    <w:p w14:paraId="44F2F0A8" w14:textId="77777777" w:rsidR="00FA2F11" w:rsidRDefault="00FA2F11" w:rsidP="00FA2F11">
      <w:pPr>
        <w:autoSpaceDE w:val="0"/>
        <w:autoSpaceDN w:val="0"/>
        <w:adjustRightInd w:val="0"/>
        <w:spacing w:before="0" w:after="0" w:line="240" w:lineRule="auto"/>
        <w:rPr>
          <w:rFonts w:asciiTheme="minorHAnsi" w:hAnsiTheme="minorHAnsi" w:cs="F17"/>
          <w:lang w:val="en-US" w:eastAsia="en-GB"/>
        </w:rPr>
      </w:pPr>
    </w:p>
    <w:p w14:paraId="067784B7" w14:textId="4BD841B4" w:rsidR="00346460" w:rsidRDefault="00326A91" w:rsidP="00FA2F11">
      <w:pPr>
        <w:autoSpaceDE w:val="0"/>
        <w:autoSpaceDN w:val="0"/>
        <w:adjustRightInd w:val="0"/>
        <w:spacing w:before="0" w:after="0" w:line="240" w:lineRule="auto"/>
        <w:rPr>
          <w:rFonts w:asciiTheme="minorHAnsi" w:hAnsiTheme="minorHAnsi" w:cs="F17"/>
          <w:lang w:val="en-US" w:eastAsia="en-GB"/>
        </w:rPr>
      </w:pPr>
      <w:r>
        <w:rPr>
          <w:rFonts w:asciiTheme="minorHAnsi" w:hAnsiTheme="minorHAnsi" w:cs="F17"/>
          <w:lang w:val="en-US" w:eastAsia="en-GB"/>
        </w:rPr>
        <w:t>We now look at some of these variables</w:t>
      </w:r>
      <w:r w:rsidR="00346460">
        <w:rPr>
          <w:rFonts w:asciiTheme="minorHAnsi" w:hAnsiTheme="minorHAnsi" w:cs="F17"/>
          <w:lang w:val="en-US" w:eastAsia="en-GB"/>
        </w:rPr>
        <w:t xml:space="preserve"> these individually to assess whether there is </w:t>
      </w:r>
      <w:proofErr w:type="gramStart"/>
      <w:r w:rsidR="00346460">
        <w:rPr>
          <w:rFonts w:asciiTheme="minorHAnsi" w:hAnsiTheme="minorHAnsi" w:cs="F17"/>
          <w:lang w:val="en-US" w:eastAsia="en-GB"/>
        </w:rPr>
        <w:t>a</w:t>
      </w:r>
      <w:r>
        <w:rPr>
          <w:rFonts w:asciiTheme="minorHAnsi" w:hAnsiTheme="minorHAnsi" w:cs="F17"/>
          <w:lang w:val="en-US" w:eastAsia="en-GB"/>
        </w:rPr>
        <w:t xml:space="preserve">  correlation</w:t>
      </w:r>
      <w:proofErr w:type="gramEnd"/>
      <w:r>
        <w:rPr>
          <w:rFonts w:asciiTheme="minorHAnsi" w:hAnsiTheme="minorHAnsi" w:cs="F17"/>
          <w:lang w:val="en-US" w:eastAsia="en-GB"/>
        </w:rPr>
        <w:t xml:space="preserve"> between them and the presence of an FH mutation</w:t>
      </w:r>
      <w:r w:rsidR="00346460">
        <w:rPr>
          <w:rFonts w:asciiTheme="minorHAnsi" w:hAnsiTheme="minorHAnsi" w:cs="F17"/>
          <w:lang w:val="en-US" w:eastAsia="en-GB"/>
        </w:rPr>
        <w:t>.</w:t>
      </w:r>
    </w:p>
    <w:p w14:paraId="540CA218"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2B42756C" w14:textId="782E1D72" w:rsidR="00346460" w:rsidRPr="00326A91" w:rsidRDefault="00346460" w:rsidP="00326A91">
      <w:pPr>
        <w:pStyle w:val="ListParagraph"/>
        <w:numPr>
          <w:ilvl w:val="0"/>
          <w:numId w:val="9"/>
        </w:numPr>
        <w:autoSpaceDE w:val="0"/>
        <w:autoSpaceDN w:val="0"/>
        <w:adjustRightInd w:val="0"/>
        <w:spacing w:before="0" w:after="0" w:line="240" w:lineRule="auto"/>
        <w:rPr>
          <w:rFonts w:asciiTheme="minorHAnsi" w:hAnsiTheme="minorHAnsi" w:cs="F17"/>
          <w:lang w:val="en-US" w:eastAsia="en-GB"/>
        </w:rPr>
      </w:pPr>
      <w:r w:rsidRPr="00326A91">
        <w:rPr>
          <w:rFonts w:asciiTheme="minorHAnsi" w:hAnsiTheme="minorHAnsi" w:cs="F17"/>
          <w:lang w:val="en-US" w:eastAsia="en-GB"/>
        </w:rPr>
        <w:t xml:space="preserve">Scoring physical signs of </w:t>
      </w:r>
      <w:proofErr w:type="spellStart"/>
      <w:r w:rsidRPr="00326A91">
        <w:rPr>
          <w:rFonts w:asciiTheme="minorHAnsi" w:hAnsiTheme="minorHAnsi" w:cs="F17"/>
          <w:lang w:val="en-US" w:eastAsia="en-GB"/>
        </w:rPr>
        <w:t>hypercholesterolaemia</w:t>
      </w:r>
      <w:proofErr w:type="spellEnd"/>
    </w:p>
    <w:p w14:paraId="196826C8" w14:textId="4F7478C7" w:rsidR="00346460" w:rsidRPr="00346460" w:rsidRDefault="00365977" w:rsidP="00346460">
      <w:pPr>
        <w:pStyle w:val="ListParagraph"/>
        <w:autoSpaceDE w:val="0"/>
        <w:autoSpaceDN w:val="0"/>
        <w:adjustRightInd w:val="0"/>
        <w:spacing w:before="0" w:after="0" w:line="240" w:lineRule="auto"/>
        <w:ind w:left="1080"/>
        <w:rPr>
          <w:rFonts w:asciiTheme="minorHAnsi" w:hAnsiTheme="minorHAnsi" w:cs="F17"/>
          <w:lang w:val="en-US" w:eastAsia="en-GB"/>
        </w:rPr>
      </w:pPr>
      <w:r>
        <w:rPr>
          <w:rFonts w:asciiTheme="minorHAnsi" w:hAnsiTheme="minorHAnsi" w:cs="F17"/>
          <w:noProof/>
          <w:lang w:val="en-US"/>
        </w:rPr>
        <w:drawing>
          <wp:inline distT="0" distB="0" distL="0" distR="0" wp14:anchorId="424A3BAA" wp14:editId="6104E3D4">
            <wp:extent cx="3543300" cy="354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rplotPhysicalsignsvsoutcome.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0EBCC1DA"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16B80394"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2C6DF878" w14:textId="77777777" w:rsidR="00346460" w:rsidRPr="00FA2F11" w:rsidRDefault="00346460" w:rsidP="00FA2F11">
      <w:pPr>
        <w:autoSpaceDE w:val="0"/>
        <w:autoSpaceDN w:val="0"/>
        <w:adjustRightInd w:val="0"/>
        <w:spacing w:before="0" w:after="0" w:line="240" w:lineRule="auto"/>
        <w:rPr>
          <w:rFonts w:asciiTheme="minorHAnsi" w:hAnsiTheme="minorHAnsi" w:cs="F17"/>
          <w:lang w:val="en-US" w:eastAsia="en-GB"/>
        </w:rPr>
      </w:pPr>
    </w:p>
    <w:p w14:paraId="730E46E2" w14:textId="77777777" w:rsidR="00FA2F11" w:rsidRPr="00FA2F11" w:rsidRDefault="00FA2F11" w:rsidP="00FA2F11">
      <w:p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Patients are selected for </w:t>
      </w:r>
      <w:proofErr w:type="spellStart"/>
      <w:r w:rsidRPr="00FA2F11">
        <w:rPr>
          <w:rFonts w:asciiTheme="minorHAnsi" w:hAnsiTheme="minorHAnsi" w:cs="F17"/>
          <w:lang w:val="en-US" w:eastAsia="en-GB"/>
        </w:rPr>
        <w:t>proband</w:t>
      </w:r>
      <w:proofErr w:type="spellEnd"/>
      <w:r w:rsidRPr="00FA2F11">
        <w:rPr>
          <w:rFonts w:asciiTheme="minorHAnsi" w:hAnsiTheme="minorHAnsi" w:cs="F17"/>
          <w:lang w:val="en-US" w:eastAsia="en-GB"/>
        </w:rPr>
        <w:t xml:space="preserve"> testing on the basis of their Dutch Lipid Clinic Network</w:t>
      </w:r>
    </w:p>
    <w:p w14:paraId="4A3C46AB" w14:textId="31425009" w:rsidR="00FA2F11" w:rsidRDefault="00FA2F11" w:rsidP="006341D2">
      <w:p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Score (DLCNS). The DLCNS migh</w:t>
      </w:r>
      <w:r>
        <w:rPr>
          <w:rFonts w:asciiTheme="minorHAnsi" w:hAnsiTheme="minorHAnsi" w:cs="F17"/>
          <w:lang w:val="en-US" w:eastAsia="en-GB"/>
        </w:rPr>
        <w:t>t be able to more accurately refl</w:t>
      </w:r>
      <w:r w:rsidRPr="00FA2F11">
        <w:rPr>
          <w:rFonts w:asciiTheme="minorHAnsi" w:hAnsiTheme="minorHAnsi" w:cs="F17"/>
          <w:lang w:val="en-US" w:eastAsia="en-GB"/>
        </w:rPr>
        <w:t>ect the risk of carrying an</w:t>
      </w:r>
      <w:r w:rsidR="006341D2">
        <w:rPr>
          <w:rFonts w:asciiTheme="minorHAnsi" w:hAnsiTheme="minorHAnsi" w:cs="F17"/>
          <w:lang w:val="en-US" w:eastAsia="en-GB"/>
        </w:rPr>
        <w:t xml:space="preserve"> </w:t>
      </w:r>
      <w:r w:rsidRPr="00FA2F11">
        <w:rPr>
          <w:rFonts w:asciiTheme="minorHAnsi" w:hAnsiTheme="minorHAnsi" w:cs="F17"/>
          <w:lang w:val="en-US" w:eastAsia="en-GB"/>
        </w:rPr>
        <w:t>FH mutation if physical signs we</w:t>
      </w:r>
      <w:r>
        <w:rPr>
          <w:rFonts w:asciiTheme="minorHAnsi" w:hAnsiTheme="minorHAnsi" w:cs="F17"/>
          <w:lang w:val="en-US" w:eastAsia="en-GB"/>
        </w:rPr>
        <w:t>re scored and the confounding eff</w:t>
      </w:r>
      <w:r w:rsidRPr="00FA2F11">
        <w:rPr>
          <w:rFonts w:asciiTheme="minorHAnsi" w:hAnsiTheme="minorHAnsi" w:cs="F17"/>
          <w:lang w:val="en-US" w:eastAsia="en-GB"/>
        </w:rPr>
        <w:t>ects of age were reduced.</w:t>
      </w:r>
    </w:p>
    <w:p w14:paraId="6A5CB46B" w14:textId="77777777" w:rsidR="00F86200" w:rsidRDefault="00F86200" w:rsidP="006341D2">
      <w:pPr>
        <w:autoSpaceDE w:val="0"/>
        <w:autoSpaceDN w:val="0"/>
        <w:adjustRightInd w:val="0"/>
        <w:spacing w:before="0" w:after="0" w:line="240" w:lineRule="auto"/>
        <w:rPr>
          <w:rFonts w:asciiTheme="minorHAnsi" w:hAnsiTheme="minorHAnsi" w:cs="F17"/>
          <w:lang w:val="en-US" w:eastAsia="en-GB"/>
        </w:rPr>
      </w:pPr>
    </w:p>
    <w:p w14:paraId="17FDE1CA" w14:textId="4DA7FFC3" w:rsidR="006341D2" w:rsidRDefault="00F86200" w:rsidP="006341D2">
      <w:pPr>
        <w:keepNext/>
        <w:autoSpaceDE w:val="0"/>
        <w:autoSpaceDN w:val="0"/>
        <w:adjustRightInd w:val="0"/>
        <w:spacing w:before="0" w:after="0" w:line="240" w:lineRule="auto"/>
        <w:jc w:val="center"/>
      </w:pPr>
      <w:r>
        <w:rPr>
          <w:noProof/>
          <w:lang w:val="en-US"/>
        </w:rPr>
        <w:lastRenderedPageBreak/>
        <w:drawing>
          <wp:inline distT="0" distB="0" distL="0" distR="0" wp14:anchorId="410BC8B6" wp14:editId="70339A9A">
            <wp:extent cx="3333750" cy="3333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plotDLCNvsoutcome.png"/>
                    <pic:cNvPicPr/>
                  </pic:nvPicPr>
                  <pic:blipFill>
                    <a:blip r:embed="rId15">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58052E34" w14:textId="52BC23FE" w:rsidR="006341D2" w:rsidRDefault="006341D2" w:rsidP="006341D2">
      <w:pPr>
        <w:pStyle w:val="Caption"/>
        <w:rPr>
          <w:rFonts w:asciiTheme="minorHAnsi" w:hAnsiTheme="minorHAnsi" w:cs="F17"/>
          <w:lang w:val="en-US" w:eastAsia="en-GB"/>
        </w:rPr>
      </w:pPr>
      <w:r>
        <w:t xml:space="preserve">Figure </w:t>
      </w:r>
      <w:fldSimple w:instr=" SEQ Figure \* ARABIC ">
        <w:r w:rsidR="0012635A">
          <w:rPr>
            <w:noProof/>
          </w:rPr>
          <w:t>1</w:t>
        </w:r>
      </w:fldSimple>
      <w:r>
        <w:t xml:space="preserve"> Boxplot of index test Dutch Lipid Clinic Network Score stratified by presence of absence of mutation.</w:t>
      </w:r>
    </w:p>
    <w:p w14:paraId="7C9A703A" w14:textId="77777777" w:rsidR="008B1F34" w:rsidRDefault="008B1F34" w:rsidP="00326A91">
      <w:pPr>
        <w:spacing w:before="0" w:after="160"/>
        <w:rPr>
          <w:rFonts w:asciiTheme="minorHAnsi" w:eastAsiaTheme="minorHAnsi" w:hAnsiTheme="minorHAnsi" w:cstheme="minorBidi"/>
        </w:rPr>
      </w:pPr>
    </w:p>
    <w:p w14:paraId="43E30113" w14:textId="15B71DAE" w:rsidR="008B1F34" w:rsidRDefault="008B1F34" w:rsidP="008B1F34">
      <w:pPr>
        <w:pStyle w:val="Heading2"/>
      </w:pPr>
      <w:proofErr w:type="spellStart"/>
      <w:r>
        <w:t>NonHDL</w:t>
      </w:r>
      <w:proofErr w:type="spellEnd"/>
      <w:r>
        <w:t xml:space="preserve"> calculation</w:t>
      </w:r>
    </w:p>
    <w:p w14:paraId="2CFA492B" w14:textId="436682FF" w:rsidR="008B1F34" w:rsidRDefault="008B1F34" w:rsidP="008B1F34">
      <w:proofErr w:type="spellStart"/>
      <w:proofErr w:type="gramStart"/>
      <w:r>
        <w:t>nonHDLC</w:t>
      </w:r>
      <w:proofErr w:type="spellEnd"/>
      <w:proofErr w:type="gramEnd"/>
      <w:r>
        <w:t xml:space="preserve"> = </w:t>
      </w:r>
      <w:proofErr w:type="spellStart"/>
      <w:r>
        <w:t>TotalC</w:t>
      </w:r>
      <w:proofErr w:type="spellEnd"/>
      <w:r>
        <w:t xml:space="preserve"> – HDLC</w:t>
      </w:r>
    </w:p>
    <w:p w14:paraId="4EBC4288" w14:textId="67AB0555" w:rsidR="008B1F34" w:rsidRDefault="008B1F34" w:rsidP="008B1F34">
      <w:pPr>
        <w:pStyle w:val="Heading2"/>
      </w:pPr>
      <w:r>
        <w:t xml:space="preserve">Multiples of Median of </w:t>
      </w:r>
      <w:proofErr w:type="spellStart"/>
      <w:r>
        <w:t>nonHDL</w:t>
      </w:r>
      <w:proofErr w:type="spellEnd"/>
    </w:p>
    <w:p w14:paraId="36FECA7E" w14:textId="31484019" w:rsidR="008B1F34" w:rsidRDefault="008B1F34" w:rsidP="008B1F34">
      <w:r>
        <w:t xml:space="preserve">Median values of a </w:t>
      </w:r>
      <w:proofErr w:type="spellStart"/>
      <w:r>
        <w:t>nonHDL</w:t>
      </w:r>
      <w:proofErr w:type="spellEnd"/>
      <w:r>
        <w:t xml:space="preserve"> for a health population were taken from HSE data over years 2003, 2006, 2008, 2012, 2013, 2014.</w:t>
      </w:r>
    </w:p>
    <w:p w14:paraId="2A198D23" w14:textId="6CC3B88B" w:rsidR="008B1F34" w:rsidRDefault="008B1F34" w:rsidP="008B1F34">
      <w:r>
        <w:t xml:space="preserve">Value for males: 4 </w:t>
      </w:r>
      <w:proofErr w:type="spellStart"/>
      <w:r>
        <w:t>mmol</w:t>
      </w:r>
      <w:proofErr w:type="spellEnd"/>
      <w:r>
        <w:t>/L</w:t>
      </w:r>
    </w:p>
    <w:p w14:paraId="2BE2C421" w14:textId="2B8BA9DA" w:rsidR="008B1F34" w:rsidRDefault="008B1F34" w:rsidP="008B1F34">
      <w:r>
        <w:t xml:space="preserve">Value for females: 3.8 </w:t>
      </w:r>
      <w:proofErr w:type="spellStart"/>
      <w:r>
        <w:t>mmol</w:t>
      </w:r>
      <w:proofErr w:type="spellEnd"/>
      <w:r>
        <w:t>/L</w:t>
      </w:r>
    </w:p>
    <w:p w14:paraId="27FFE5B1" w14:textId="1F1B7472" w:rsidR="008B1F34" w:rsidRPr="008B1F34" w:rsidRDefault="008B1F34" w:rsidP="008B1F34">
      <w:r>
        <w:t>This allows us to calculate the multiples of median for each participant (</w:t>
      </w:r>
      <w:proofErr w:type="spellStart"/>
      <w:r>
        <w:t>MoM</w:t>
      </w:r>
      <w:proofErr w:type="spellEnd"/>
      <w:r>
        <w:t xml:space="preserve">).  </w:t>
      </w:r>
    </w:p>
    <w:p w14:paraId="71E74D27" w14:textId="77777777" w:rsidR="00FB4729" w:rsidRPr="00FB4729" w:rsidRDefault="00FB4729" w:rsidP="00FB4729"/>
    <w:p w14:paraId="6B180F2E" w14:textId="77777777" w:rsidR="009E76F3" w:rsidRPr="009A5E5E" w:rsidRDefault="009E76F3" w:rsidP="000C799A">
      <w:pPr>
        <w:pStyle w:val="Heading1"/>
      </w:pPr>
      <w:r w:rsidRPr="009A5E5E">
        <w:t>Discussion</w:t>
      </w:r>
    </w:p>
    <w:p w14:paraId="461445CF" w14:textId="77777777" w:rsidR="00582073" w:rsidRDefault="00D0472A" w:rsidP="000C799A">
      <w:pPr>
        <w:pStyle w:val="Heading1"/>
        <w:pageBreakBefore/>
      </w:pPr>
      <w:r w:rsidRPr="009A5E5E">
        <w:lastRenderedPageBreak/>
        <w:t>References</w:t>
      </w:r>
    </w:p>
    <w:p w14:paraId="34FC2941" w14:textId="624C4F05" w:rsidR="001C74A9" w:rsidRDefault="001C74A9" w:rsidP="001C74A9">
      <w:pPr>
        <w:pStyle w:val="Heading1"/>
      </w:pPr>
      <w:r>
        <w:t>Figures</w:t>
      </w:r>
    </w:p>
    <w:p w14:paraId="68466A6F" w14:textId="5ABBDA43" w:rsidR="0012635A" w:rsidRDefault="0012635A" w:rsidP="0012635A">
      <w:pPr>
        <w:pStyle w:val="Caption"/>
        <w:keepNext/>
      </w:pPr>
      <w:r>
        <w:t xml:space="preserve">Figure </w:t>
      </w:r>
      <w:fldSimple w:instr=" SEQ Figure \* ARABIC ">
        <w:r>
          <w:rPr>
            <w:noProof/>
          </w:rPr>
          <w:t>2</w:t>
        </w:r>
      </w:fldSimple>
      <w:r>
        <w:t xml:space="preserve"> Flow of index cases through the two-stage 'chip and sequence' diagnostic pathway.  Retrospective validation testing was carried out to determine the accuracy of the diagnostic strategy.</w:t>
      </w:r>
    </w:p>
    <w:p w14:paraId="394EB66A" w14:textId="77777777" w:rsidR="0012635A" w:rsidRDefault="0012635A" w:rsidP="0012635A">
      <w:pPr>
        <w:keepNext/>
      </w:pPr>
      <w:commentRangeStart w:id="4"/>
      <w:r>
        <w:rPr>
          <w:noProof/>
          <w:lang w:val="en-US"/>
        </w:rPr>
        <w:drawing>
          <wp:inline distT="0" distB="0" distL="0" distR="0" wp14:anchorId="1A6A1EDD" wp14:editId="742ECEE9">
            <wp:extent cx="5731510" cy="4451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ng Flow Chart FH v3 jan201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451985"/>
                    </a:xfrm>
                    <a:prstGeom prst="rect">
                      <a:avLst/>
                    </a:prstGeom>
                  </pic:spPr>
                </pic:pic>
              </a:graphicData>
            </a:graphic>
          </wp:inline>
        </w:drawing>
      </w:r>
      <w:commentRangeEnd w:id="4"/>
      <w:r>
        <w:rPr>
          <w:rStyle w:val="CommentReference"/>
        </w:rPr>
        <w:commentReference w:id="4"/>
      </w:r>
    </w:p>
    <w:p w14:paraId="29D05B63" w14:textId="77777777" w:rsidR="0012635A" w:rsidRPr="0012635A" w:rsidRDefault="0012635A" w:rsidP="0012635A"/>
    <w:p w14:paraId="5A413E4D" w14:textId="77777777" w:rsidR="00A82178" w:rsidRDefault="00A82178" w:rsidP="00A82178">
      <w:pPr>
        <w:keepNext/>
      </w:pPr>
      <w:commentRangeStart w:id="5"/>
      <w:r>
        <w:rPr>
          <w:noProof/>
          <w:lang w:val="en-US"/>
        </w:rPr>
        <w:lastRenderedPageBreak/>
        <w:drawing>
          <wp:inline distT="0" distB="0" distL="0" distR="0" wp14:anchorId="5E154713" wp14:editId="71548E39">
            <wp:extent cx="5731510" cy="34810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Hprevalenc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commentRangeEnd w:id="5"/>
      <w:r w:rsidR="00C36469">
        <w:rPr>
          <w:rStyle w:val="CommentReference"/>
        </w:rPr>
        <w:commentReference w:id="5"/>
      </w:r>
    </w:p>
    <w:p w14:paraId="13FFF98D" w14:textId="36568103" w:rsidR="00A82178" w:rsidRDefault="00A82178" w:rsidP="00A82178">
      <w:pPr>
        <w:pStyle w:val="Caption"/>
      </w:pPr>
      <w:bookmarkStart w:id="6" w:name="_Ref356119145"/>
      <w:r>
        <w:t xml:space="preserve">Figure </w:t>
      </w:r>
      <w:fldSimple w:instr=" SEQ Figure \* ARABIC ">
        <w:r w:rsidR="0012635A">
          <w:rPr>
            <w:noProof/>
          </w:rPr>
          <w:t>4</w:t>
        </w:r>
      </w:fldSimple>
      <w:bookmarkEnd w:id="6"/>
      <w:r>
        <w:t xml:space="preserve"> Cost and saving per index case tested; figure shows an increase in the cost savings of the </w:t>
      </w:r>
      <w:proofErr w:type="gramStart"/>
      <w:r>
        <w:t>two step</w:t>
      </w:r>
      <w:proofErr w:type="gramEnd"/>
      <w:r>
        <w:t xml:space="preserve"> testing strategy as the number of mutation positives increase.</w:t>
      </w:r>
    </w:p>
    <w:p w14:paraId="5CCB31FE" w14:textId="77777777" w:rsidR="00C36469" w:rsidRDefault="00C36469" w:rsidP="00C36469"/>
    <w:p w14:paraId="79BA9CED" w14:textId="77777777" w:rsidR="00C36469" w:rsidRDefault="00C36469" w:rsidP="00C36469">
      <w:pPr>
        <w:keepNext/>
        <w:autoSpaceDE w:val="0"/>
        <w:autoSpaceDN w:val="0"/>
        <w:adjustRightInd w:val="0"/>
        <w:spacing w:before="0" w:after="0" w:line="240" w:lineRule="auto"/>
        <w:jc w:val="center"/>
      </w:pPr>
      <w:r>
        <w:rPr>
          <w:noProof/>
          <w:lang w:val="en-US"/>
        </w:rPr>
        <w:drawing>
          <wp:inline distT="0" distB="0" distL="0" distR="0" wp14:anchorId="6CAD43F5" wp14:editId="4E1503A4">
            <wp:extent cx="33337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plotDLCNvsoutcome.png"/>
                    <pic:cNvPicPr/>
                  </pic:nvPicPr>
                  <pic:blipFill>
                    <a:blip r:embed="rId15">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072334CD" w14:textId="77777777" w:rsidR="00C36469" w:rsidRDefault="00C36469" w:rsidP="00C36469">
      <w:pPr>
        <w:pStyle w:val="Caption"/>
        <w:rPr>
          <w:rFonts w:asciiTheme="minorHAnsi" w:hAnsiTheme="minorHAnsi" w:cs="F17"/>
          <w:lang w:val="en-US" w:eastAsia="en-GB"/>
        </w:rPr>
      </w:pPr>
      <w:bookmarkStart w:id="7" w:name="_Ref356122739"/>
      <w:r>
        <w:t xml:space="preserve">Figure </w:t>
      </w:r>
      <w:r>
        <w:fldChar w:fldCharType="begin"/>
      </w:r>
      <w:r>
        <w:instrText xml:space="preserve"> SEQ Figure \* ARABIC </w:instrText>
      </w:r>
      <w:r>
        <w:fldChar w:fldCharType="separate"/>
      </w:r>
      <w:r>
        <w:rPr>
          <w:noProof/>
        </w:rPr>
        <w:t>4</w:t>
      </w:r>
      <w:r>
        <w:fldChar w:fldCharType="end"/>
      </w:r>
      <w:bookmarkEnd w:id="7"/>
      <w:r>
        <w:t xml:space="preserve"> Boxplot of index test Dutch Lipid Clinic Network Score stratified by presence of absence of mutation.</w:t>
      </w:r>
    </w:p>
    <w:p w14:paraId="7A49BBE8" w14:textId="77777777" w:rsidR="00C36469" w:rsidRPr="00C36469" w:rsidRDefault="00C36469" w:rsidP="00C36469"/>
    <w:p w14:paraId="73AD4BC8" w14:textId="77777777" w:rsidR="00A82178" w:rsidRPr="00A82178" w:rsidRDefault="00A82178" w:rsidP="00A82178"/>
    <w:p w14:paraId="17C0AD27" w14:textId="7B7F0A3F" w:rsidR="00585E09" w:rsidRPr="00585E09" w:rsidRDefault="00585E09" w:rsidP="00585E09"/>
    <w:p w14:paraId="72551816" w14:textId="77777777" w:rsidR="00514EBA" w:rsidRDefault="00514EBA" w:rsidP="001C74A9">
      <w:pPr>
        <w:pStyle w:val="Heading1"/>
      </w:pPr>
      <w:r>
        <w:br w:type="page"/>
      </w:r>
    </w:p>
    <w:p w14:paraId="59ECB4D9" w14:textId="60442F03" w:rsidR="00A82178" w:rsidRPr="00A82178" w:rsidRDefault="001C74A9" w:rsidP="0012635A">
      <w:pPr>
        <w:pStyle w:val="Heading1"/>
      </w:pPr>
      <w:r>
        <w:lastRenderedPageBreak/>
        <w:t>Tables</w:t>
      </w:r>
    </w:p>
    <w:p w14:paraId="279ACE90" w14:textId="0D08F02B" w:rsidR="00A82178" w:rsidRDefault="00A82178" w:rsidP="00A82178">
      <w:pPr>
        <w:pStyle w:val="Caption"/>
        <w:keepNext/>
      </w:pPr>
      <w:bookmarkStart w:id="8" w:name="_Ref356121637"/>
      <w:r>
        <w:t xml:space="preserve">Table </w:t>
      </w:r>
      <w:fldSimple w:instr=" SEQ Table \* ARABIC ">
        <w:r w:rsidR="0012635A">
          <w:rPr>
            <w:noProof/>
          </w:rPr>
          <w:t>1</w:t>
        </w:r>
      </w:fldSimple>
      <w:bookmarkEnd w:id="8"/>
      <w:r>
        <w:t xml:space="preserve"> Number of index cases undergoing genetic testing for FH</w:t>
      </w:r>
    </w:p>
    <w:tbl>
      <w:tblPr>
        <w:tblW w:w="6548" w:type="dxa"/>
        <w:jc w:val="center"/>
        <w:tblLook w:val="04A0" w:firstRow="1" w:lastRow="0" w:firstColumn="1" w:lastColumn="0" w:noHBand="0" w:noVBand="1"/>
      </w:tblPr>
      <w:tblGrid>
        <w:gridCol w:w="5540"/>
        <w:gridCol w:w="1008"/>
      </w:tblGrid>
      <w:tr w:rsidR="00514EBA" w:rsidRPr="00514EBA" w14:paraId="1B2330C5" w14:textId="77777777" w:rsidTr="00CA6E66">
        <w:trPr>
          <w:trHeight w:val="315"/>
          <w:jc w:val="center"/>
        </w:trPr>
        <w:tc>
          <w:tcPr>
            <w:tcW w:w="5540" w:type="dxa"/>
            <w:tcBorders>
              <w:top w:val="single" w:sz="8" w:space="0" w:color="auto"/>
              <w:left w:val="single" w:sz="8" w:space="0" w:color="auto"/>
              <w:bottom w:val="nil"/>
              <w:right w:val="nil"/>
            </w:tcBorders>
            <w:shd w:val="clear" w:color="auto" w:fill="E7E6E6" w:themeFill="background2"/>
            <w:noWrap/>
            <w:vAlign w:val="bottom"/>
            <w:hideMark/>
          </w:tcPr>
          <w:p w14:paraId="13E83C13"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Total number of patients recruited</w:t>
            </w:r>
          </w:p>
        </w:tc>
        <w:tc>
          <w:tcPr>
            <w:tcW w:w="1008" w:type="dxa"/>
            <w:tcBorders>
              <w:top w:val="single" w:sz="8" w:space="0" w:color="auto"/>
              <w:left w:val="nil"/>
              <w:bottom w:val="nil"/>
              <w:right w:val="single" w:sz="8" w:space="0" w:color="auto"/>
            </w:tcBorders>
            <w:shd w:val="clear" w:color="auto" w:fill="E7E6E6" w:themeFill="background2"/>
            <w:noWrap/>
            <w:vAlign w:val="bottom"/>
            <w:hideMark/>
          </w:tcPr>
          <w:p w14:paraId="4F556C29"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258</w:t>
            </w:r>
          </w:p>
        </w:tc>
      </w:tr>
      <w:tr w:rsidR="00514EBA" w:rsidRPr="00514EBA" w14:paraId="5A89730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12C12C" w14:textId="2D82B5FE" w:rsidR="00514EBA" w:rsidRPr="00514EBA" w:rsidRDefault="00CA6E66" w:rsidP="00CA6E66">
            <w:pPr>
              <w:spacing w:before="0" w:after="0" w:line="240" w:lineRule="auto"/>
              <w:jc w:val="center"/>
              <w:rPr>
                <w:rFonts w:eastAsia="Times New Roman"/>
                <w:color w:val="000000"/>
                <w:sz w:val="24"/>
                <w:szCs w:val="24"/>
                <w:lang w:val="en-US"/>
              </w:rPr>
            </w:pPr>
            <w:proofErr w:type="spellStart"/>
            <w:r>
              <w:rPr>
                <w:rFonts w:eastAsia="Times New Roman"/>
                <w:color w:val="000000"/>
                <w:sz w:val="24"/>
                <w:szCs w:val="24"/>
                <w:lang w:val="en-US"/>
              </w:rPr>
              <w:t>Sequenom</w:t>
            </w:r>
            <w:proofErr w:type="spellEnd"/>
            <w:r>
              <w:rPr>
                <w:rFonts w:eastAsia="Times New Roman"/>
                <w:color w:val="000000"/>
                <w:sz w:val="24"/>
                <w:szCs w:val="24"/>
                <w:lang w:val="en-US"/>
              </w:rPr>
              <w:t>™ chip</w:t>
            </w:r>
            <w:r w:rsidR="00514EBA" w:rsidRPr="00514EBA">
              <w:rPr>
                <w:rFonts w:eastAsia="Times New Roman"/>
                <w:color w:val="000000"/>
                <w:sz w:val="24"/>
                <w:szCs w:val="24"/>
                <w:lang w:val="en-US"/>
              </w:rPr>
              <w:t xml:space="preserve"> testing</w:t>
            </w:r>
          </w:p>
        </w:tc>
      </w:tr>
      <w:tr w:rsidR="00514EBA" w:rsidRPr="00514EBA" w14:paraId="66C2A27E"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60E964D" w14:textId="113CE9F9" w:rsidR="00514EBA" w:rsidRPr="00514EBA" w:rsidRDefault="00CA6E66" w:rsidP="00514EBA">
            <w:pPr>
              <w:spacing w:before="0" w:after="0" w:line="240" w:lineRule="auto"/>
              <w:rPr>
                <w:rFonts w:eastAsia="Times New Roman"/>
                <w:color w:val="000000"/>
                <w:lang w:val="en-US"/>
              </w:rPr>
            </w:pPr>
            <w:r>
              <w:rPr>
                <w:rFonts w:eastAsia="Times New Roman"/>
                <w:color w:val="000000"/>
                <w:lang w:val="en-US"/>
              </w:rPr>
              <w:t xml:space="preserve">Index cases undergoing </w:t>
            </w:r>
            <w:proofErr w:type="spellStart"/>
            <w:r>
              <w:rPr>
                <w:rFonts w:eastAsia="Times New Roman"/>
                <w:color w:val="000000"/>
                <w:lang w:val="en-US"/>
              </w:rPr>
              <w:t>Sequenom</w:t>
            </w:r>
            <w:proofErr w:type="spellEnd"/>
            <w:r>
              <w:rPr>
                <w:rFonts w:eastAsia="Times New Roman"/>
                <w:color w:val="000000"/>
                <w:lang w:val="en-US"/>
              </w:rPr>
              <w:t>™ chip</w:t>
            </w:r>
            <w:r w:rsidR="00514EBA"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auto"/>
            <w:noWrap/>
            <w:vAlign w:val="bottom"/>
            <w:hideMark/>
          </w:tcPr>
          <w:p w14:paraId="58A9021B"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w:t>
            </w:r>
          </w:p>
        </w:tc>
      </w:tr>
      <w:tr w:rsidR="00514EBA" w:rsidRPr="00514EBA" w14:paraId="3FD9F18C" w14:textId="77777777" w:rsidTr="00CA6E66">
        <w:trPr>
          <w:trHeight w:val="315"/>
          <w:jc w:val="center"/>
        </w:trPr>
        <w:tc>
          <w:tcPr>
            <w:tcW w:w="5540" w:type="dxa"/>
            <w:tcBorders>
              <w:top w:val="nil"/>
              <w:left w:val="single" w:sz="8" w:space="0" w:color="auto"/>
              <w:bottom w:val="nil"/>
              <w:right w:val="nil"/>
            </w:tcBorders>
            <w:shd w:val="clear" w:color="auto" w:fill="auto"/>
            <w:noWrap/>
            <w:vAlign w:val="bottom"/>
            <w:hideMark/>
          </w:tcPr>
          <w:p w14:paraId="53E0B010" w14:textId="7427B639"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Mutation detected</w:t>
            </w:r>
            <w:r w:rsidR="00CA6E66">
              <w:rPr>
                <w:rFonts w:eastAsia="Times New Roman"/>
                <w:color w:val="000000"/>
                <w:lang w:val="en-US"/>
              </w:rPr>
              <w:t xml:space="preserve"> on </w:t>
            </w:r>
            <w:proofErr w:type="spellStart"/>
            <w:r w:rsidR="00CA6E66">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(MD)</w:t>
            </w:r>
          </w:p>
        </w:tc>
        <w:tc>
          <w:tcPr>
            <w:tcW w:w="1008" w:type="dxa"/>
            <w:tcBorders>
              <w:top w:val="nil"/>
              <w:left w:val="nil"/>
              <w:bottom w:val="nil"/>
              <w:right w:val="single" w:sz="8" w:space="0" w:color="auto"/>
            </w:tcBorders>
            <w:shd w:val="clear" w:color="auto" w:fill="auto"/>
            <w:noWrap/>
            <w:vAlign w:val="bottom"/>
            <w:hideMark/>
          </w:tcPr>
          <w:p w14:paraId="6DCF2C0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47</w:t>
            </w:r>
          </w:p>
        </w:tc>
      </w:tr>
      <w:tr w:rsidR="00514EBA" w:rsidRPr="00514EBA" w14:paraId="316AD91C"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27146765" w14:textId="660C5490"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No mutation detected on </w:t>
            </w:r>
            <w:proofErr w:type="spellStart"/>
            <w:r w:rsidRPr="00514EBA">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(NMD)</w:t>
            </w:r>
          </w:p>
        </w:tc>
        <w:tc>
          <w:tcPr>
            <w:tcW w:w="1008" w:type="dxa"/>
            <w:tcBorders>
              <w:top w:val="nil"/>
              <w:left w:val="nil"/>
              <w:bottom w:val="nil"/>
              <w:right w:val="single" w:sz="8" w:space="0" w:color="auto"/>
            </w:tcBorders>
            <w:shd w:val="clear" w:color="auto" w:fill="auto"/>
            <w:noWrap/>
            <w:vAlign w:val="bottom"/>
            <w:hideMark/>
          </w:tcPr>
          <w:p w14:paraId="54CF57DF"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209</w:t>
            </w:r>
          </w:p>
        </w:tc>
      </w:tr>
      <w:tr w:rsidR="00514EBA" w:rsidRPr="00514EBA" w14:paraId="5BFFB8AF" w14:textId="77777777" w:rsidTr="00CA6E66">
        <w:trPr>
          <w:trHeight w:val="315"/>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6B17CB81"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Sequenom</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0AE706E2"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£25,600</w:t>
            </w:r>
          </w:p>
        </w:tc>
      </w:tr>
      <w:tr w:rsidR="00514EBA" w:rsidRPr="00514EBA" w14:paraId="0DEF5F8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CE9BC73" w14:textId="79C2A684" w:rsidR="00514EBA" w:rsidRPr="00514EBA" w:rsidRDefault="00CA6E66" w:rsidP="00514EBA">
            <w:pPr>
              <w:spacing w:before="0" w:after="0" w:line="240" w:lineRule="auto"/>
              <w:jc w:val="center"/>
              <w:rPr>
                <w:rFonts w:eastAsia="Times New Roman"/>
                <w:color w:val="000000"/>
                <w:sz w:val="24"/>
                <w:szCs w:val="24"/>
                <w:lang w:val="en-US"/>
              </w:rPr>
            </w:pPr>
            <w:r>
              <w:rPr>
                <w:rFonts w:eastAsia="Times New Roman"/>
                <w:color w:val="000000"/>
                <w:sz w:val="24"/>
                <w:szCs w:val="24"/>
                <w:lang w:val="en-US"/>
              </w:rPr>
              <w:t>NGS sequence</w:t>
            </w:r>
            <w:r w:rsidR="00514EBA" w:rsidRPr="00514EBA">
              <w:rPr>
                <w:rFonts w:eastAsia="Times New Roman"/>
                <w:color w:val="000000"/>
                <w:sz w:val="24"/>
                <w:szCs w:val="24"/>
                <w:lang w:val="en-US"/>
              </w:rPr>
              <w:t xml:space="preserve"> testing</w:t>
            </w:r>
          </w:p>
        </w:tc>
      </w:tr>
      <w:tr w:rsidR="00514EBA" w:rsidRPr="00514EBA" w14:paraId="20FECE0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33303FB1" w14:textId="77F318F2"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Index cases with N</w:t>
            </w:r>
            <w:r w:rsidR="00CA6E66">
              <w:rPr>
                <w:rFonts w:eastAsia="Times New Roman"/>
                <w:color w:val="000000"/>
                <w:lang w:val="en-US"/>
              </w:rPr>
              <w:t>MD on chip, undergoing NGS</w:t>
            </w:r>
          </w:p>
        </w:tc>
        <w:tc>
          <w:tcPr>
            <w:tcW w:w="1008" w:type="dxa"/>
            <w:tcBorders>
              <w:top w:val="nil"/>
              <w:left w:val="nil"/>
              <w:bottom w:val="nil"/>
              <w:right w:val="single" w:sz="8" w:space="0" w:color="auto"/>
            </w:tcBorders>
            <w:shd w:val="clear" w:color="auto" w:fill="auto"/>
            <w:noWrap/>
            <w:vAlign w:val="bottom"/>
            <w:hideMark/>
          </w:tcPr>
          <w:p w14:paraId="5D0842F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167</w:t>
            </w:r>
          </w:p>
        </w:tc>
      </w:tr>
      <w:tr w:rsidR="00514EBA" w:rsidRPr="00514EBA" w14:paraId="4836718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44FC0785" w14:textId="707C2B2A"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w:t>
            </w:r>
            <w:r w:rsidR="00CA6E66">
              <w:rPr>
                <w:rFonts w:eastAsia="Times New Roman"/>
                <w:color w:val="000000"/>
                <w:lang w:val="en-US"/>
              </w:rPr>
              <w:t>ndex cases with NMD on chip and MD on NGS</w:t>
            </w:r>
          </w:p>
        </w:tc>
        <w:tc>
          <w:tcPr>
            <w:tcW w:w="1008" w:type="dxa"/>
            <w:tcBorders>
              <w:top w:val="nil"/>
              <w:left w:val="nil"/>
              <w:bottom w:val="nil"/>
              <w:right w:val="single" w:sz="8" w:space="0" w:color="auto"/>
            </w:tcBorders>
            <w:shd w:val="clear" w:color="auto" w:fill="auto"/>
            <w:noWrap/>
            <w:vAlign w:val="bottom"/>
            <w:hideMark/>
          </w:tcPr>
          <w:p w14:paraId="13B95675"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43</w:t>
            </w:r>
          </w:p>
        </w:tc>
      </w:tr>
      <w:tr w:rsidR="00514EBA" w:rsidRPr="00514EBA" w14:paraId="27BB4E97"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BAD9278" w14:textId="66486CF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Index cases with NMD </w:t>
            </w:r>
            <w:r w:rsidR="00CA6E66">
              <w:rPr>
                <w:rFonts w:eastAsia="Times New Roman"/>
                <w:color w:val="000000"/>
                <w:lang w:val="en-US"/>
              </w:rPr>
              <w:t xml:space="preserve">on both chip and NGS </w:t>
            </w:r>
          </w:p>
        </w:tc>
        <w:tc>
          <w:tcPr>
            <w:tcW w:w="1008" w:type="dxa"/>
            <w:tcBorders>
              <w:top w:val="nil"/>
              <w:left w:val="nil"/>
              <w:bottom w:val="nil"/>
              <w:right w:val="single" w:sz="8" w:space="0" w:color="auto"/>
            </w:tcBorders>
            <w:shd w:val="clear" w:color="auto" w:fill="auto"/>
            <w:noWrap/>
            <w:vAlign w:val="bottom"/>
            <w:hideMark/>
          </w:tcPr>
          <w:p w14:paraId="7CD8E44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124</w:t>
            </w:r>
          </w:p>
        </w:tc>
      </w:tr>
      <w:tr w:rsidR="00514EBA" w:rsidRPr="00514EBA" w14:paraId="79C57A31" w14:textId="77777777" w:rsidTr="00CA6E66">
        <w:trPr>
          <w:trHeight w:val="300"/>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57C2D0FE"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MiSeq</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67D88DD1"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£66,880</w:t>
            </w:r>
          </w:p>
        </w:tc>
      </w:tr>
      <w:tr w:rsidR="00514EBA" w:rsidRPr="00514EBA" w14:paraId="7CFBCB8F" w14:textId="77777777" w:rsidTr="00CA6E66">
        <w:trPr>
          <w:trHeight w:val="330"/>
          <w:jc w:val="center"/>
        </w:trPr>
        <w:tc>
          <w:tcPr>
            <w:tcW w:w="5540" w:type="dxa"/>
            <w:tcBorders>
              <w:top w:val="single" w:sz="8" w:space="0" w:color="auto"/>
              <w:left w:val="single" w:sz="8" w:space="0" w:color="auto"/>
              <w:bottom w:val="single" w:sz="8" w:space="0" w:color="auto"/>
              <w:right w:val="nil"/>
            </w:tcBorders>
            <w:shd w:val="clear" w:color="000000" w:fill="DDEBF7"/>
            <w:noWrap/>
            <w:vAlign w:val="bottom"/>
            <w:hideMark/>
          </w:tcPr>
          <w:p w14:paraId="38370A3F" w14:textId="77777777" w:rsidR="00514EBA" w:rsidRPr="00514EBA" w:rsidRDefault="00514EBA" w:rsidP="00514EBA">
            <w:pPr>
              <w:spacing w:before="0" w:after="0" w:line="240" w:lineRule="auto"/>
              <w:rPr>
                <w:rFonts w:eastAsia="Times New Roman"/>
                <w:b/>
                <w:bCs/>
                <w:color w:val="000000"/>
                <w:sz w:val="24"/>
                <w:szCs w:val="24"/>
                <w:lang w:val="en-US"/>
              </w:rPr>
            </w:pPr>
            <w:r w:rsidRPr="00514EBA">
              <w:rPr>
                <w:rFonts w:eastAsia="Times New Roman"/>
                <w:b/>
                <w:bCs/>
                <w:color w:val="000000"/>
                <w:sz w:val="24"/>
                <w:szCs w:val="24"/>
                <w:lang w:val="en-US"/>
              </w:rPr>
              <w:t>Total cost of testing</w:t>
            </w:r>
          </w:p>
        </w:tc>
        <w:tc>
          <w:tcPr>
            <w:tcW w:w="1008" w:type="dxa"/>
            <w:tcBorders>
              <w:top w:val="single" w:sz="8" w:space="0" w:color="auto"/>
              <w:left w:val="nil"/>
              <w:bottom w:val="single" w:sz="8" w:space="0" w:color="auto"/>
              <w:right w:val="single" w:sz="8" w:space="0" w:color="auto"/>
            </w:tcBorders>
            <w:shd w:val="clear" w:color="000000" w:fill="DDEBF7"/>
            <w:noWrap/>
            <w:vAlign w:val="bottom"/>
            <w:hideMark/>
          </w:tcPr>
          <w:p w14:paraId="3290EDB3" w14:textId="77777777" w:rsidR="00514EBA" w:rsidRPr="00514EBA" w:rsidRDefault="00514EBA" w:rsidP="005E7A19">
            <w:pPr>
              <w:keepNext/>
              <w:spacing w:before="0" w:after="0" w:line="240" w:lineRule="auto"/>
              <w:jc w:val="right"/>
              <w:rPr>
                <w:rFonts w:eastAsia="Times New Roman"/>
                <w:b/>
                <w:bCs/>
                <w:color w:val="000000"/>
                <w:sz w:val="24"/>
                <w:szCs w:val="24"/>
                <w:lang w:val="en-US"/>
              </w:rPr>
            </w:pPr>
            <w:r w:rsidRPr="00514EBA">
              <w:rPr>
                <w:rFonts w:eastAsia="Times New Roman"/>
                <w:b/>
                <w:bCs/>
                <w:color w:val="000000"/>
                <w:sz w:val="24"/>
                <w:szCs w:val="24"/>
                <w:lang w:val="en-US"/>
              </w:rPr>
              <w:t>£92,400</w:t>
            </w:r>
          </w:p>
        </w:tc>
      </w:tr>
    </w:tbl>
    <w:p w14:paraId="59EC7B54" w14:textId="77777777" w:rsidR="0012635A" w:rsidRDefault="0012635A" w:rsidP="0012635A">
      <w:pPr>
        <w:pStyle w:val="Caption"/>
        <w:keepNext/>
      </w:pPr>
    </w:p>
    <w:p w14:paraId="4A41FC5B" w14:textId="77777777" w:rsidR="0012635A" w:rsidRDefault="0012635A" w:rsidP="0012635A">
      <w:pPr>
        <w:pStyle w:val="Caption"/>
        <w:keepNext/>
      </w:pPr>
      <w:bookmarkStart w:id="9" w:name="_Ref356121862"/>
      <w:r>
        <w:t xml:space="preserve">Table </w:t>
      </w:r>
      <w:fldSimple w:instr=" SEQ Table \* ARABIC ">
        <w:r>
          <w:rPr>
            <w:noProof/>
          </w:rPr>
          <w:t>2</w:t>
        </w:r>
      </w:fldSimple>
      <w:bookmarkEnd w:id="9"/>
      <w:proofErr w:type="gramStart"/>
      <w:r>
        <w:t xml:space="preserve">  Diagnostic</w:t>
      </w:r>
      <w:proofErr w:type="gramEnd"/>
      <w:r>
        <w:t xml:space="preserve"> accuracy:  mutation detection by the two-stage 'chip and sequence' approach and full genetic testing.</w:t>
      </w:r>
    </w:p>
    <w:tbl>
      <w:tblPr>
        <w:tblW w:w="6520" w:type="dxa"/>
        <w:tblLook w:val="04A0" w:firstRow="1" w:lastRow="0" w:firstColumn="1" w:lastColumn="0" w:noHBand="0" w:noVBand="1"/>
      </w:tblPr>
      <w:tblGrid>
        <w:gridCol w:w="1957"/>
        <w:gridCol w:w="743"/>
        <w:gridCol w:w="1900"/>
        <w:gridCol w:w="1920"/>
      </w:tblGrid>
      <w:tr w:rsidR="0012635A" w:rsidRPr="001C74A9" w14:paraId="4C1AAD41" w14:textId="77777777" w:rsidTr="0012635A">
        <w:trPr>
          <w:cantSplit/>
          <w:trHeight w:val="315"/>
        </w:trPr>
        <w:tc>
          <w:tcPr>
            <w:tcW w:w="2700" w:type="dxa"/>
            <w:gridSpan w:val="2"/>
            <w:tcBorders>
              <w:top w:val="nil"/>
              <w:left w:val="nil"/>
              <w:bottom w:val="nil"/>
              <w:right w:val="nil"/>
            </w:tcBorders>
            <w:shd w:val="clear" w:color="auto" w:fill="auto"/>
            <w:noWrap/>
            <w:vAlign w:val="bottom"/>
            <w:hideMark/>
          </w:tcPr>
          <w:p w14:paraId="607B10B0" w14:textId="77777777" w:rsidR="0012635A" w:rsidRPr="001C74A9" w:rsidRDefault="0012635A" w:rsidP="0012635A">
            <w:pPr>
              <w:spacing w:before="0" w:after="0" w:line="240" w:lineRule="auto"/>
              <w:rPr>
                <w:rFonts w:ascii="Times New Roman" w:eastAsia="Times New Roman" w:hAnsi="Times New Roman"/>
                <w:sz w:val="20"/>
                <w:szCs w:val="20"/>
                <w:lang w:val="en-US"/>
              </w:rPr>
            </w:pPr>
          </w:p>
        </w:tc>
        <w:tc>
          <w:tcPr>
            <w:tcW w:w="1900" w:type="dxa"/>
            <w:tcBorders>
              <w:top w:val="nil"/>
              <w:left w:val="nil"/>
              <w:bottom w:val="nil"/>
              <w:right w:val="nil"/>
            </w:tcBorders>
            <w:shd w:val="clear" w:color="000000" w:fill="DDEBF7"/>
            <w:noWrap/>
            <w:vAlign w:val="bottom"/>
            <w:hideMark/>
          </w:tcPr>
          <w:p w14:paraId="6C3C23C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present</w:t>
            </w:r>
          </w:p>
        </w:tc>
        <w:tc>
          <w:tcPr>
            <w:tcW w:w="1920" w:type="dxa"/>
            <w:tcBorders>
              <w:top w:val="nil"/>
              <w:left w:val="nil"/>
              <w:bottom w:val="nil"/>
              <w:right w:val="nil"/>
            </w:tcBorders>
            <w:shd w:val="clear" w:color="000000" w:fill="DDEBF7"/>
            <w:noWrap/>
            <w:vAlign w:val="bottom"/>
            <w:hideMark/>
          </w:tcPr>
          <w:p w14:paraId="5A355C1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absent</w:t>
            </w:r>
          </w:p>
        </w:tc>
      </w:tr>
      <w:tr w:rsidR="0012635A" w:rsidRPr="001C74A9" w14:paraId="0B070B08" w14:textId="77777777" w:rsidTr="0012635A">
        <w:trPr>
          <w:trHeight w:val="300"/>
        </w:trPr>
        <w:tc>
          <w:tcPr>
            <w:tcW w:w="1957" w:type="dxa"/>
            <w:vMerge w:val="restart"/>
            <w:tcBorders>
              <w:top w:val="nil"/>
              <w:left w:val="nil"/>
              <w:bottom w:val="nil"/>
              <w:right w:val="nil"/>
            </w:tcBorders>
            <w:shd w:val="clear" w:color="auto" w:fill="auto"/>
            <w:noWrap/>
            <w:vAlign w:val="center"/>
            <w:hideMark/>
          </w:tcPr>
          <w:p w14:paraId="36757AB8" w14:textId="77777777" w:rsidR="0012635A" w:rsidRPr="001C74A9" w:rsidRDefault="0012635A" w:rsidP="0012635A">
            <w:pPr>
              <w:spacing w:before="0" w:after="0" w:line="240" w:lineRule="auto"/>
              <w:rPr>
                <w:rFonts w:eastAsia="Times New Roman"/>
                <w:color w:val="000000"/>
                <w:lang w:val="en-US"/>
              </w:rPr>
            </w:pPr>
            <w:r>
              <w:rPr>
                <w:rFonts w:eastAsia="Times New Roman"/>
                <w:color w:val="000000"/>
                <w:lang w:val="en-US"/>
              </w:rPr>
              <w:t>Chip and Sequence</w:t>
            </w:r>
          </w:p>
        </w:tc>
        <w:tc>
          <w:tcPr>
            <w:tcW w:w="743" w:type="dxa"/>
            <w:tcBorders>
              <w:top w:val="nil"/>
              <w:left w:val="nil"/>
              <w:bottom w:val="nil"/>
              <w:right w:val="nil"/>
            </w:tcBorders>
            <w:shd w:val="clear" w:color="000000" w:fill="DDEBF7"/>
            <w:noWrap/>
            <w:vAlign w:val="bottom"/>
            <w:hideMark/>
          </w:tcPr>
          <w:p w14:paraId="53F1B218"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MD</w:t>
            </w:r>
          </w:p>
        </w:tc>
        <w:tc>
          <w:tcPr>
            <w:tcW w:w="1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4A26F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90</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09C5F9A6"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0</w:t>
            </w:r>
          </w:p>
        </w:tc>
      </w:tr>
      <w:tr w:rsidR="0012635A" w:rsidRPr="001C74A9" w14:paraId="793DCD5A" w14:textId="77777777" w:rsidTr="0012635A">
        <w:trPr>
          <w:trHeight w:val="315"/>
        </w:trPr>
        <w:tc>
          <w:tcPr>
            <w:tcW w:w="1957" w:type="dxa"/>
            <w:vMerge/>
            <w:tcBorders>
              <w:top w:val="nil"/>
              <w:left w:val="nil"/>
              <w:bottom w:val="nil"/>
              <w:right w:val="nil"/>
            </w:tcBorders>
            <w:vAlign w:val="center"/>
            <w:hideMark/>
          </w:tcPr>
          <w:p w14:paraId="283EEE73" w14:textId="77777777" w:rsidR="0012635A" w:rsidRPr="001C74A9" w:rsidRDefault="0012635A" w:rsidP="0012635A">
            <w:pPr>
              <w:spacing w:before="0" w:after="0" w:line="240" w:lineRule="auto"/>
              <w:rPr>
                <w:rFonts w:eastAsia="Times New Roman"/>
                <w:color w:val="000000"/>
                <w:lang w:val="en-US"/>
              </w:rPr>
            </w:pPr>
          </w:p>
        </w:tc>
        <w:tc>
          <w:tcPr>
            <w:tcW w:w="743" w:type="dxa"/>
            <w:tcBorders>
              <w:top w:val="nil"/>
              <w:left w:val="nil"/>
              <w:bottom w:val="nil"/>
              <w:right w:val="nil"/>
            </w:tcBorders>
            <w:shd w:val="clear" w:color="000000" w:fill="DDEBF7"/>
            <w:noWrap/>
            <w:vAlign w:val="bottom"/>
            <w:hideMark/>
          </w:tcPr>
          <w:p w14:paraId="114E82A1"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NMD</w:t>
            </w:r>
          </w:p>
        </w:tc>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0BF60D9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2</w:t>
            </w:r>
          </w:p>
        </w:tc>
        <w:tc>
          <w:tcPr>
            <w:tcW w:w="1920" w:type="dxa"/>
            <w:tcBorders>
              <w:top w:val="nil"/>
              <w:left w:val="nil"/>
              <w:bottom w:val="single" w:sz="8" w:space="0" w:color="auto"/>
              <w:right w:val="single" w:sz="8" w:space="0" w:color="auto"/>
            </w:tcBorders>
            <w:shd w:val="clear" w:color="auto" w:fill="auto"/>
            <w:noWrap/>
            <w:vAlign w:val="bottom"/>
            <w:hideMark/>
          </w:tcPr>
          <w:p w14:paraId="79742F0C" w14:textId="77777777" w:rsidR="0012635A" w:rsidRPr="001C74A9" w:rsidRDefault="0012635A" w:rsidP="0012635A">
            <w:pPr>
              <w:spacing w:before="0" w:after="0" w:line="240" w:lineRule="auto"/>
              <w:jc w:val="right"/>
              <w:rPr>
                <w:rFonts w:eastAsia="Times New Roman"/>
                <w:color w:val="000000"/>
                <w:lang w:val="en-US"/>
              </w:rPr>
            </w:pPr>
            <w:r>
              <w:rPr>
                <w:rFonts w:eastAsia="Times New Roman"/>
                <w:color w:val="000000"/>
                <w:lang w:val="en-US"/>
              </w:rPr>
              <w:t>163</w:t>
            </w:r>
          </w:p>
        </w:tc>
      </w:tr>
      <w:tr w:rsidR="0012635A" w:rsidRPr="001C74A9" w14:paraId="5E64BE7C" w14:textId="77777777" w:rsidTr="0012635A">
        <w:trPr>
          <w:cantSplit/>
          <w:trHeight w:val="315"/>
        </w:trPr>
        <w:tc>
          <w:tcPr>
            <w:tcW w:w="2700" w:type="dxa"/>
            <w:gridSpan w:val="2"/>
            <w:tcBorders>
              <w:top w:val="nil"/>
              <w:left w:val="nil"/>
              <w:bottom w:val="nil"/>
              <w:right w:val="single" w:sz="8" w:space="0" w:color="000000"/>
            </w:tcBorders>
            <w:shd w:val="clear" w:color="auto" w:fill="auto"/>
            <w:noWrap/>
            <w:vAlign w:val="bottom"/>
            <w:hideMark/>
          </w:tcPr>
          <w:p w14:paraId="52FBE869" w14:textId="77777777" w:rsidR="0012635A" w:rsidRPr="001C74A9" w:rsidRDefault="0012635A" w:rsidP="0012635A">
            <w:pPr>
              <w:spacing w:before="0" w:after="0" w:line="240" w:lineRule="auto"/>
              <w:jc w:val="right"/>
              <w:rPr>
                <w:rFonts w:eastAsia="Times New Roman"/>
                <w:color w:val="000000"/>
                <w:lang w:val="en-US"/>
              </w:rPr>
            </w:pPr>
          </w:p>
        </w:tc>
        <w:tc>
          <w:tcPr>
            <w:tcW w:w="1900" w:type="dxa"/>
            <w:tcBorders>
              <w:top w:val="nil"/>
              <w:left w:val="nil"/>
              <w:bottom w:val="single" w:sz="8" w:space="0" w:color="auto"/>
              <w:right w:val="single" w:sz="4" w:space="0" w:color="auto"/>
            </w:tcBorders>
            <w:shd w:val="clear" w:color="auto" w:fill="auto"/>
            <w:noWrap/>
            <w:vAlign w:val="bottom"/>
            <w:hideMark/>
          </w:tcPr>
          <w:p w14:paraId="250FE195"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92</w:t>
            </w:r>
          </w:p>
        </w:tc>
        <w:tc>
          <w:tcPr>
            <w:tcW w:w="1920" w:type="dxa"/>
            <w:tcBorders>
              <w:top w:val="nil"/>
              <w:left w:val="nil"/>
              <w:bottom w:val="single" w:sz="8" w:space="0" w:color="auto"/>
              <w:right w:val="single" w:sz="8" w:space="0" w:color="auto"/>
            </w:tcBorders>
            <w:shd w:val="clear" w:color="auto" w:fill="auto"/>
            <w:noWrap/>
            <w:vAlign w:val="bottom"/>
            <w:hideMark/>
          </w:tcPr>
          <w:p w14:paraId="6D4DD802"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16</w:t>
            </w:r>
            <w:r>
              <w:rPr>
                <w:rFonts w:eastAsia="Times New Roman"/>
                <w:color w:val="000000"/>
                <w:lang w:val="en-US"/>
              </w:rPr>
              <w:t>3</w:t>
            </w:r>
          </w:p>
        </w:tc>
      </w:tr>
    </w:tbl>
    <w:p w14:paraId="795AD054" w14:textId="77777777" w:rsidR="005E7A19" w:rsidRDefault="005E7A19" w:rsidP="005E7A19"/>
    <w:p w14:paraId="41CCEB2E" w14:textId="01406D2A" w:rsidR="00CA6E66" w:rsidRDefault="00CA6E66" w:rsidP="00CA6E66">
      <w:pPr>
        <w:pStyle w:val="Caption"/>
        <w:keepNext/>
      </w:pPr>
      <w:bookmarkStart w:id="10" w:name="_Ref356121579"/>
      <w:bookmarkStart w:id="11" w:name="_Ref356121584"/>
      <w:r>
        <w:t xml:space="preserve">Table </w:t>
      </w:r>
      <w:fldSimple w:instr=" SEQ Table \* ARABIC ">
        <w:r w:rsidR="0012635A">
          <w:rPr>
            <w:noProof/>
          </w:rPr>
          <w:t>3</w:t>
        </w:r>
      </w:fldSimple>
      <w:bookmarkEnd w:id="11"/>
      <w:proofErr w:type="gramStart"/>
      <w:r>
        <w:t xml:space="preserve"> Cost comparison</w:t>
      </w:r>
      <w:proofErr w:type="gramEnd"/>
      <w:r>
        <w:t xml:space="preserve"> of both diagnostic strategies</w:t>
      </w:r>
      <w:bookmarkEnd w:id="10"/>
    </w:p>
    <w:tbl>
      <w:tblPr>
        <w:tblW w:w="7577" w:type="dxa"/>
        <w:jc w:val="center"/>
        <w:tblInd w:w="93" w:type="dxa"/>
        <w:tblLook w:val="04A0" w:firstRow="1" w:lastRow="0" w:firstColumn="1" w:lastColumn="0" w:noHBand="0" w:noVBand="1"/>
      </w:tblPr>
      <w:tblGrid>
        <w:gridCol w:w="3059"/>
        <w:gridCol w:w="2224"/>
        <w:gridCol w:w="2294"/>
      </w:tblGrid>
      <w:tr w:rsidR="00CA6E66" w:rsidRPr="004A3FEC" w14:paraId="0D0497A4" w14:textId="77777777" w:rsidTr="00CA6E66">
        <w:trPr>
          <w:trHeight w:val="587"/>
          <w:jc w:val="center"/>
        </w:trPr>
        <w:tc>
          <w:tcPr>
            <w:tcW w:w="3059" w:type="dxa"/>
            <w:tcBorders>
              <w:top w:val="nil"/>
              <w:left w:val="nil"/>
              <w:bottom w:val="nil"/>
              <w:right w:val="nil"/>
            </w:tcBorders>
            <w:shd w:val="clear" w:color="auto" w:fill="auto"/>
            <w:noWrap/>
            <w:vAlign w:val="bottom"/>
            <w:hideMark/>
          </w:tcPr>
          <w:p w14:paraId="7EC6A7FB" w14:textId="77777777" w:rsidR="00CA6E66" w:rsidRPr="004A3FEC" w:rsidRDefault="00CA6E66" w:rsidP="00CA6E66">
            <w:pPr>
              <w:pStyle w:val="NoSpacing"/>
            </w:pPr>
          </w:p>
        </w:tc>
        <w:tc>
          <w:tcPr>
            <w:tcW w:w="2224" w:type="dxa"/>
            <w:tcBorders>
              <w:top w:val="single" w:sz="4" w:space="0" w:color="auto"/>
              <w:left w:val="single" w:sz="4" w:space="0" w:color="auto"/>
              <w:bottom w:val="single" w:sz="4" w:space="0" w:color="auto"/>
              <w:right w:val="single" w:sz="4" w:space="0" w:color="auto"/>
            </w:tcBorders>
            <w:shd w:val="clear" w:color="auto" w:fill="auto"/>
            <w:hideMark/>
          </w:tcPr>
          <w:p w14:paraId="26273D39" w14:textId="77777777" w:rsidR="00CA6E66" w:rsidRPr="004A3FEC" w:rsidRDefault="00CA6E66" w:rsidP="00CA6E66">
            <w:pPr>
              <w:pStyle w:val="NoSpacing"/>
              <w:rPr>
                <w:b/>
                <w:bCs/>
              </w:rPr>
            </w:pPr>
            <w:r>
              <w:rPr>
                <w:b/>
                <w:bCs/>
              </w:rPr>
              <w:t xml:space="preserve">Per patient </w:t>
            </w:r>
            <w:r w:rsidRPr="004A3FEC">
              <w:rPr>
                <w:b/>
                <w:bCs/>
              </w:rPr>
              <w:t>cost (£)</w:t>
            </w:r>
          </w:p>
        </w:tc>
        <w:tc>
          <w:tcPr>
            <w:tcW w:w="2294" w:type="dxa"/>
            <w:tcBorders>
              <w:top w:val="single" w:sz="4" w:space="0" w:color="auto"/>
              <w:left w:val="nil"/>
              <w:bottom w:val="single" w:sz="4" w:space="0" w:color="auto"/>
              <w:right w:val="single" w:sz="4" w:space="0" w:color="auto"/>
            </w:tcBorders>
            <w:shd w:val="clear" w:color="auto" w:fill="auto"/>
            <w:vAlign w:val="bottom"/>
            <w:hideMark/>
          </w:tcPr>
          <w:p w14:paraId="4A64830E" w14:textId="77777777" w:rsidR="00CA6E66" w:rsidRPr="004A3FEC" w:rsidRDefault="00CA6E66" w:rsidP="00CA6E66">
            <w:pPr>
              <w:pStyle w:val="NoSpacing"/>
              <w:rPr>
                <w:b/>
                <w:bCs/>
              </w:rPr>
            </w:pPr>
            <w:r w:rsidRPr="004A3FEC">
              <w:rPr>
                <w:b/>
                <w:bCs/>
              </w:rPr>
              <w:t>Total cost for cohort (n=25</w:t>
            </w:r>
            <w:r>
              <w:rPr>
                <w:b/>
                <w:bCs/>
              </w:rPr>
              <w:t>6</w:t>
            </w:r>
            <w:r w:rsidRPr="004A3FEC">
              <w:rPr>
                <w:b/>
                <w:bCs/>
              </w:rPr>
              <w:t>) (£)</w:t>
            </w:r>
          </w:p>
        </w:tc>
      </w:tr>
      <w:tr w:rsidR="00CA6E66" w:rsidRPr="004A3FEC" w14:paraId="3DA138B6" w14:textId="77777777" w:rsidTr="00CA6E66">
        <w:trPr>
          <w:trHeight w:val="293"/>
          <w:jc w:val="center"/>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A231B" w14:textId="77777777" w:rsidR="00CA6E66" w:rsidRPr="004A3FEC" w:rsidRDefault="00CA6E66" w:rsidP="00CA6E66">
            <w:pPr>
              <w:pStyle w:val="NoSpacing"/>
              <w:rPr>
                <w:b/>
                <w:bCs/>
              </w:rPr>
            </w:pPr>
            <w:r w:rsidRPr="004A3FEC">
              <w:rPr>
                <w:b/>
                <w:bCs/>
              </w:rPr>
              <w:t>NGS</w:t>
            </w:r>
          </w:p>
        </w:tc>
        <w:tc>
          <w:tcPr>
            <w:tcW w:w="2224" w:type="dxa"/>
            <w:tcBorders>
              <w:top w:val="nil"/>
              <w:left w:val="nil"/>
              <w:bottom w:val="single" w:sz="4" w:space="0" w:color="auto"/>
              <w:right w:val="single" w:sz="4" w:space="0" w:color="auto"/>
            </w:tcBorders>
            <w:shd w:val="clear" w:color="auto" w:fill="auto"/>
            <w:noWrap/>
            <w:vAlign w:val="bottom"/>
            <w:hideMark/>
          </w:tcPr>
          <w:p w14:paraId="456182F2" w14:textId="77777777" w:rsidR="00CA6E66" w:rsidRPr="004A3FEC" w:rsidRDefault="00CA6E66" w:rsidP="00CA6E66">
            <w:pPr>
              <w:pStyle w:val="NoSpacing"/>
            </w:pPr>
            <w:r w:rsidRPr="004A3FEC">
              <w:t xml:space="preserve">£400 </w:t>
            </w:r>
          </w:p>
        </w:tc>
        <w:tc>
          <w:tcPr>
            <w:tcW w:w="2294" w:type="dxa"/>
            <w:tcBorders>
              <w:top w:val="nil"/>
              <w:left w:val="nil"/>
              <w:bottom w:val="single" w:sz="4" w:space="0" w:color="auto"/>
              <w:right w:val="single" w:sz="4" w:space="0" w:color="auto"/>
            </w:tcBorders>
            <w:shd w:val="clear" w:color="auto" w:fill="auto"/>
            <w:noWrap/>
            <w:vAlign w:val="bottom"/>
            <w:hideMark/>
          </w:tcPr>
          <w:p w14:paraId="48E96A56" w14:textId="77777777" w:rsidR="00CA6E66" w:rsidRPr="004A3FEC" w:rsidRDefault="00CA6E66" w:rsidP="00CA6E66">
            <w:pPr>
              <w:pStyle w:val="NoSpacing"/>
            </w:pPr>
            <w:r>
              <w:t>£102,4</w:t>
            </w:r>
            <w:r w:rsidRPr="004A3FEC">
              <w:t xml:space="preserve">00 </w:t>
            </w:r>
          </w:p>
        </w:tc>
      </w:tr>
      <w:tr w:rsidR="00CA6E66" w:rsidRPr="004A3FEC" w14:paraId="0312BF7B" w14:textId="77777777" w:rsidTr="00CA6E66">
        <w:trPr>
          <w:trHeight w:val="587"/>
          <w:jc w:val="center"/>
        </w:trPr>
        <w:tc>
          <w:tcPr>
            <w:tcW w:w="3059" w:type="dxa"/>
            <w:tcBorders>
              <w:top w:val="nil"/>
              <w:left w:val="single" w:sz="4" w:space="0" w:color="auto"/>
              <w:bottom w:val="single" w:sz="4" w:space="0" w:color="auto"/>
              <w:right w:val="single" w:sz="4" w:space="0" w:color="auto"/>
            </w:tcBorders>
            <w:shd w:val="clear" w:color="auto" w:fill="auto"/>
            <w:vAlign w:val="bottom"/>
            <w:hideMark/>
          </w:tcPr>
          <w:p w14:paraId="6D09854B" w14:textId="77777777" w:rsidR="00CA6E66" w:rsidRPr="004A3FEC" w:rsidRDefault="00CA6E66" w:rsidP="00CA6E66">
            <w:pPr>
              <w:pStyle w:val="NoSpacing"/>
              <w:rPr>
                <w:b/>
                <w:bCs/>
              </w:rPr>
            </w:pPr>
            <w:r w:rsidRPr="004A3FEC">
              <w:rPr>
                <w:b/>
                <w:bCs/>
              </w:rPr>
              <w:t>Chip and sequence approach (actual cost from project)</w:t>
            </w:r>
          </w:p>
        </w:tc>
        <w:tc>
          <w:tcPr>
            <w:tcW w:w="2224" w:type="dxa"/>
            <w:tcBorders>
              <w:top w:val="nil"/>
              <w:left w:val="nil"/>
              <w:bottom w:val="single" w:sz="4" w:space="0" w:color="auto"/>
              <w:right w:val="single" w:sz="4" w:space="0" w:color="auto"/>
            </w:tcBorders>
            <w:shd w:val="clear" w:color="auto" w:fill="auto"/>
            <w:noWrap/>
            <w:vAlign w:val="bottom"/>
            <w:hideMark/>
          </w:tcPr>
          <w:p w14:paraId="214B6CA8" w14:textId="77777777" w:rsidR="00CA6E66" w:rsidRPr="004A3FEC" w:rsidRDefault="00CA6E66" w:rsidP="00CA6E66">
            <w:pPr>
              <w:pStyle w:val="NoSpacing"/>
            </w:pPr>
            <w:r>
              <w:t>£358</w:t>
            </w:r>
            <w:r w:rsidRPr="004A3FEC">
              <w:t xml:space="preserve"> </w:t>
            </w:r>
          </w:p>
        </w:tc>
        <w:tc>
          <w:tcPr>
            <w:tcW w:w="2294" w:type="dxa"/>
            <w:tcBorders>
              <w:top w:val="nil"/>
              <w:left w:val="nil"/>
              <w:bottom w:val="single" w:sz="4" w:space="0" w:color="auto"/>
              <w:right w:val="single" w:sz="4" w:space="0" w:color="auto"/>
            </w:tcBorders>
            <w:shd w:val="clear" w:color="auto" w:fill="auto"/>
            <w:noWrap/>
            <w:vAlign w:val="bottom"/>
            <w:hideMark/>
          </w:tcPr>
          <w:p w14:paraId="65943DC6" w14:textId="77777777" w:rsidR="00CA6E66" w:rsidRPr="004A3FEC" w:rsidRDefault="00CA6E66" w:rsidP="00CA6E66">
            <w:pPr>
              <w:pStyle w:val="NoSpacing"/>
            </w:pPr>
            <w:r>
              <w:t>£92,400</w:t>
            </w:r>
            <w:r w:rsidRPr="004A3FEC">
              <w:t xml:space="preserve"> </w:t>
            </w:r>
          </w:p>
        </w:tc>
      </w:tr>
      <w:tr w:rsidR="00CA6E66" w:rsidRPr="004A3FEC" w14:paraId="23941AA5" w14:textId="77777777" w:rsidTr="00CA6E66">
        <w:trPr>
          <w:trHeight w:val="293"/>
          <w:jc w:val="center"/>
        </w:trPr>
        <w:tc>
          <w:tcPr>
            <w:tcW w:w="3059" w:type="dxa"/>
            <w:tcBorders>
              <w:top w:val="nil"/>
              <w:left w:val="single" w:sz="4" w:space="0" w:color="auto"/>
              <w:bottom w:val="single" w:sz="4" w:space="0" w:color="auto"/>
              <w:right w:val="single" w:sz="4" w:space="0" w:color="auto"/>
            </w:tcBorders>
            <w:shd w:val="clear" w:color="auto" w:fill="auto"/>
            <w:noWrap/>
            <w:vAlign w:val="bottom"/>
            <w:hideMark/>
          </w:tcPr>
          <w:p w14:paraId="01489067" w14:textId="77777777" w:rsidR="00CA6E66" w:rsidRPr="004A3FEC" w:rsidRDefault="00CA6E66" w:rsidP="00CA6E66">
            <w:pPr>
              <w:pStyle w:val="NoSpacing"/>
              <w:rPr>
                <w:b/>
                <w:bCs/>
                <w:i/>
                <w:iCs/>
              </w:rPr>
            </w:pPr>
            <w:r>
              <w:rPr>
                <w:b/>
                <w:bCs/>
                <w:i/>
                <w:iCs/>
              </w:rPr>
              <w:t>Cost difference (NGS – chip and sequence approach)</w:t>
            </w:r>
          </w:p>
        </w:tc>
        <w:tc>
          <w:tcPr>
            <w:tcW w:w="2224" w:type="dxa"/>
            <w:tcBorders>
              <w:top w:val="nil"/>
              <w:left w:val="nil"/>
              <w:bottom w:val="single" w:sz="4" w:space="0" w:color="auto"/>
              <w:right w:val="single" w:sz="4" w:space="0" w:color="auto"/>
            </w:tcBorders>
            <w:shd w:val="clear" w:color="auto" w:fill="auto"/>
            <w:noWrap/>
            <w:vAlign w:val="bottom"/>
            <w:hideMark/>
          </w:tcPr>
          <w:p w14:paraId="57D8742B" w14:textId="77777777" w:rsidR="00CA6E66" w:rsidRPr="004A3FEC" w:rsidRDefault="00CA6E66" w:rsidP="00CA6E66">
            <w:pPr>
              <w:pStyle w:val="NoSpacing"/>
            </w:pPr>
            <w:r w:rsidRPr="004A3FEC">
              <w:t xml:space="preserve">£42 </w:t>
            </w:r>
          </w:p>
        </w:tc>
        <w:tc>
          <w:tcPr>
            <w:tcW w:w="2294" w:type="dxa"/>
            <w:tcBorders>
              <w:top w:val="nil"/>
              <w:left w:val="nil"/>
              <w:bottom w:val="single" w:sz="4" w:space="0" w:color="auto"/>
              <w:right w:val="single" w:sz="4" w:space="0" w:color="auto"/>
            </w:tcBorders>
            <w:shd w:val="clear" w:color="auto" w:fill="auto"/>
            <w:noWrap/>
            <w:vAlign w:val="bottom"/>
            <w:hideMark/>
          </w:tcPr>
          <w:p w14:paraId="25ED81AA" w14:textId="77777777" w:rsidR="00CA6E66" w:rsidRPr="004A3FEC" w:rsidRDefault="00CA6E66" w:rsidP="00CA6E66">
            <w:pPr>
              <w:pStyle w:val="NoSpacing"/>
            </w:pPr>
            <w:r>
              <w:t>£10,0</w:t>
            </w:r>
            <w:r w:rsidRPr="004A3FEC">
              <w:t xml:space="preserve">00 </w:t>
            </w:r>
          </w:p>
        </w:tc>
      </w:tr>
    </w:tbl>
    <w:p w14:paraId="2299F102" w14:textId="77777777" w:rsidR="00CA6E66" w:rsidRDefault="00CA6E66" w:rsidP="005E7A19"/>
    <w:p w14:paraId="06BF9513" w14:textId="77777777" w:rsidR="00CA6E66" w:rsidRPr="005E7A19" w:rsidRDefault="00CA6E66" w:rsidP="005E7A19"/>
    <w:p w14:paraId="3E27505B" w14:textId="341A431D" w:rsidR="00A82178" w:rsidRDefault="00A82178" w:rsidP="00A82178">
      <w:pPr>
        <w:pStyle w:val="Caption"/>
        <w:keepNext/>
      </w:pPr>
      <w:r>
        <w:t xml:space="preserve">Table </w:t>
      </w:r>
      <w:fldSimple w:instr=" SEQ Table \* ARABIC ">
        <w:r w:rsidR="0012635A">
          <w:rPr>
            <w:noProof/>
          </w:rPr>
          <w:t>4</w:t>
        </w:r>
      </w:fldSimple>
      <w:r>
        <w:t xml:space="preserve"> Percentage of index cases testing positive for a mutation associated with FH</w:t>
      </w:r>
    </w:p>
    <w:tbl>
      <w:tblPr>
        <w:tblStyle w:val="TableGrid"/>
        <w:tblW w:w="0" w:type="auto"/>
        <w:jc w:val="center"/>
        <w:tblLook w:val="04A0" w:firstRow="1" w:lastRow="0" w:firstColumn="1" w:lastColumn="0" w:noHBand="0" w:noVBand="1"/>
      </w:tblPr>
      <w:tblGrid>
        <w:gridCol w:w="5620"/>
        <w:gridCol w:w="960"/>
      </w:tblGrid>
      <w:tr w:rsidR="005E7A19" w:rsidRPr="005E7A19" w14:paraId="221FFE17" w14:textId="77777777" w:rsidTr="00CA6E66">
        <w:trPr>
          <w:trHeight w:val="315"/>
          <w:jc w:val="center"/>
        </w:trPr>
        <w:tc>
          <w:tcPr>
            <w:tcW w:w="5620" w:type="dxa"/>
            <w:noWrap/>
            <w:hideMark/>
          </w:tcPr>
          <w:p w14:paraId="67E4AAE1" w14:textId="77777777" w:rsidR="005E7A19" w:rsidRPr="005E7A19" w:rsidRDefault="005E7A19" w:rsidP="005E7A19">
            <w:pPr>
              <w:pStyle w:val="NoSpacing"/>
            </w:pPr>
            <w:r w:rsidRPr="005E7A19">
              <w:t xml:space="preserve">Percentage MD index cases detected on </w:t>
            </w:r>
            <w:proofErr w:type="spellStart"/>
            <w:r w:rsidRPr="005E7A19">
              <w:t>Sequenom</w:t>
            </w:r>
            <w:proofErr w:type="spellEnd"/>
            <w:r w:rsidRPr="005E7A19">
              <w:t xml:space="preserve"> </w:t>
            </w:r>
          </w:p>
        </w:tc>
        <w:tc>
          <w:tcPr>
            <w:tcW w:w="960" w:type="dxa"/>
            <w:noWrap/>
            <w:hideMark/>
          </w:tcPr>
          <w:p w14:paraId="4A7C6AF4" w14:textId="77777777" w:rsidR="005E7A19" w:rsidRPr="005E7A19" w:rsidRDefault="005E7A19" w:rsidP="005E7A19">
            <w:pPr>
              <w:pStyle w:val="NoSpacing"/>
            </w:pPr>
            <w:r w:rsidRPr="005E7A19">
              <w:t>18%</w:t>
            </w:r>
          </w:p>
        </w:tc>
      </w:tr>
      <w:tr w:rsidR="005E7A19" w:rsidRPr="005E7A19" w14:paraId="25FB91A8" w14:textId="77777777" w:rsidTr="00CA6E66">
        <w:trPr>
          <w:trHeight w:val="315"/>
          <w:jc w:val="center"/>
        </w:trPr>
        <w:tc>
          <w:tcPr>
            <w:tcW w:w="5620" w:type="dxa"/>
            <w:noWrap/>
            <w:hideMark/>
          </w:tcPr>
          <w:p w14:paraId="40637DF7" w14:textId="77777777" w:rsidR="005E7A19" w:rsidRPr="005E7A19" w:rsidRDefault="005E7A19" w:rsidP="005E7A19">
            <w:pPr>
              <w:pStyle w:val="NoSpacing"/>
            </w:pPr>
            <w:r w:rsidRPr="005E7A19">
              <w:t xml:space="preserve">Percentage of NMD on </w:t>
            </w:r>
            <w:proofErr w:type="spellStart"/>
            <w:r w:rsidRPr="005E7A19">
              <w:t>Sequenom</w:t>
            </w:r>
            <w:proofErr w:type="spellEnd"/>
            <w:r w:rsidRPr="005E7A19">
              <w:t xml:space="preserve"> who testing MD by </w:t>
            </w:r>
            <w:proofErr w:type="spellStart"/>
            <w:r w:rsidRPr="005E7A19">
              <w:t>MiSeq</w:t>
            </w:r>
            <w:proofErr w:type="spellEnd"/>
          </w:p>
        </w:tc>
        <w:tc>
          <w:tcPr>
            <w:tcW w:w="960" w:type="dxa"/>
            <w:noWrap/>
            <w:hideMark/>
          </w:tcPr>
          <w:p w14:paraId="43E43CC1" w14:textId="77777777" w:rsidR="005E7A19" w:rsidRPr="005E7A19" w:rsidRDefault="005E7A19" w:rsidP="005E7A19">
            <w:pPr>
              <w:pStyle w:val="NoSpacing"/>
            </w:pPr>
            <w:r w:rsidRPr="005E7A19">
              <w:t>26%</w:t>
            </w:r>
          </w:p>
        </w:tc>
      </w:tr>
      <w:tr w:rsidR="005E7A19" w:rsidRPr="005E7A19" w14:paraId="4D08748E" w14:textId="77777777" w:rsidTr="00CA6E66">
        <w:trPr>
          <w:trHeight w:val="330"/>
          <w:jc w:val="center"/>
        </w:trPr>
        <w:tc>
          <w:tcPr>
            <w:tcW w:w="5620" w:type="dxa"/>
            <w:noWrap/>
            <w:hideMark/>
          </w:tcPr>
          <w:p w14:paraId="3F0F8FD5" w14:textId="77777777" w:rsidR="005E7A19" w:rsidRPr="005E7A19" w:rsidRDefault="005E7A19" w:rsidP="005E7A19">
            <w:pPr>
              <w:pStyle w:val="NoSpacing"/>
            </w:pPr>
            <w:r w:rsidRPr="005E7A19">
              <w:t>Percentage of index cases found to have a mutation</w:t>
            </w:r>
          </w:p>
        </w:tc>
        <w:tc>
          <w:tcPr>
            <w:tcW w:w="960" w:type="dxa"/>
            <w:noWrap/>
            <w:hideMark/>
          </w:tcPr>
          <w:p w14:paraId="530DA1E3" w14:textId="77777777" w:rsidR="005E7A19" w:rsidRPr="005E7A19" w:rsidRDefault="005E7A19" w:rsidP="005E7A19">
            <w:pPr>
              <w:pStyle w:val="NoSpacing"/>
              <w:keepNext/>
            </w:pPr>
            <w:r w:rsidRPr="005E7A19">
              <w:t>35%</w:t>
            </w:r>
          </w:p>
        </w:tc>
      </w:tr>
    </w:tbl>
    <w:p w14:paraId="6140BAE1" w14:textId="77777777" w:rsidR="00514EBA" w:rsidRDefault="00514EBA" w:rsidP="00514EBA">
      <w:pPr>
        <w:pStyle w:val="NoSpacing"/>
      </w:pPr>
    </w:p>
    <w:p w14:paraId="43964E23" w14:textId="698239A7" w:rsidR="00A82178" w:rsidRDefault="00A82178" w:rsidP="00A82178">
      <w:pPr>
        <w:pStyle w:val="Caption"/>
        <w:keepNext/>
      </w:pPr>
      <w:r>
        <w:lastRenderedPageBreak/>
        <w:t xml:space="preserve">Table </w:t>
      </w:r>
      <w:fldSimple w:instr=" SEQ Table \* ARABIC ">
        <w:r>
          <w:rPr>
            <w:noProof/>
          </w:rPr>
          <w:t>6</w:t>
        </w:r>
      </w:fldSimple>
      <w:r>
        <w:t xml:space="preserve"> Frequency of mutations picked up by </w:t>
      </w:r>
      <w:proofErr w:type="spellStart"/>
      <w:r>
        <w:t>Sequenom</w:t>
      </w:r>
      <w:proofErr w:type="spellEnd"/>
      <w:r>
        <w:t>™ chip test</w:t>
      </w:r>
    </w:p>
    <w:tbl>
      <w:tblPr>
        <w:tblStyle w:val="TableGrid"/>
        <w:tblW w:w="9277" w:type="dxa"/>
        <w:tblLook w:val="04A0" w:firstRow="1" w:lastRow="0" w:firstColumn="1" w:lastColumn="0" w:noHBand="0" w:noVBand="1"/>
      </w:tblPr>
      <w:tblGrid>
        <w:gridCol w:w="6987"/>
        <w:gridCol w:w="2290"/>
      </w:tblGrid>
      <w:tr w:rsidR="001C74A9" w:rsidRPr="00C22859" w14:paraId="0FEDEACA" w14:textId="77777777" w:rsidTr="00A82178">
        <w:trPr>
          <w:trHeight w:val="222"/>
        </w:trPr>
        <w:tc>
          <w:tcPr>
            <w:tcW w:w="6987" w:type="dxa"/>
            <w:shd w:val="clear" w:color="auto" w:fill="EDEDED" w:themeFill="accent3" w:themeFillTint="33"/>
            <w:noWrap/>
            <w:hideMark/>
          </w:tcPr>
          <w:p w14:paraId="081D7151" w14:textId="77777777" w:rsidR="001C74A9" w:rsidRPr="00C22859" w:rsidRDefault="001C74A9" w:rsidP="00964638">
            <w:pPr>
              <w:pStyle w:val="NoSpacing"/>
              <w:rPr>
                <w:b/>
              </w:rPr>
            </w:pPr>
            <w:r w:rsidRPr="00C22859">
              <w:rPr>
                <w:b/>
              </w:rPr>
              <w:t>Mutation</w:t>
            </w:r>
          </w:p>
        </w:tc>
        <w:tc>
          <w:tcPr>
            <w:tcW w:w="2290" w:type="dxa"/>
            <w:shd w:val="clear" w:color="auto" w:fill="EDEDED" w:themeFill="accent3" w:themeFillTint="33"/>
            <w:noWrap/>
            <w:hideMark/>
          </w:tcPr>
          <w:p w14:paraId="6C90F402" w14:textId="77777777" w:rsidR="001C74A9" w:rsidRPr="00C22859" w:rsidRDefault="001C74A9" w:rsidP="00964638">
            <w:pPr>
              <w:pStyle w:val="NoSpacing"/>
              <w:rPr>
                <w:b/>
              </w:rPr>
            </w:pPr>
            <w:r w:rsidRPr="00C22859">
              <w:rPr>
                <w:b/>
              </w:rPr>
              <w:t>Frequency of detection</w:t>
            </w:r>
          </w:p>
        </w:tc>
      </w:tr>
      <w:tr w:rsidR="001C74A9" w:rsidRPr="00C22859" w14:paraId="260B9984" w14:textId="77777777" w:rsidTr="00A82178">
        <w:trPr>
          <w:trHeight w:val="222"/>
        </w:trPr>
        <w:tc>
          <w:tcPr>
            <w:tcW w:w="6987" w:type="dxa"/>
            <w:noWrap/>
            <w:vAlign w:val="bottom"/>
            <w:hideMark/>
          </w:tcPr>
          <w:p w14:paraId="3554F6D0" w14:textId="77777777" w:rsidR="001C74A9" w:rsidRPr="00C22859" w:rsidRDefault="001C74A9" w:rsidP="00964638">
            <w:pPr>
              <w:pStyle w:val="NoSpacing"/>
            </w:pPr>
            <w:r>
              <w:rPr>
                <w:color w:val="000000"/>
              </w:rPr>
              <w:t>ABOB c.10580G&gt;A p.(Arg3527Gln)</w:t>
            </w:r>
          </w:p>
        </w:tc>
        <w:tc>
          <w:tcPr>
            <w:tcW w:w="2290" w:type="dxa"/>
            <w:noWrap/>
            <w:vAlign w:val="bottom"/>
            <w:hideMark/>
          </w:tcPr>
          <w:p w14:paraId="178D6295" w14:textId="77777777" w:rsidR="001C74A9" w:rsidRPr="00C22859" w:rsidRDefault="001C74A9" w:rsidP="00964638">
            <w:pPr>
              <w:pStyle w:val="NoSpacing"/>
            </w:pPr>
            <w:r>
              <w:rPr>
                <w:color w:val="000000"/>
              </w:rPr>
              <w:t>9</w:t>
            </w:r>
          </w:p>
        </w:tc>
      </w:tr>
      <w:tr w:rsidR="001C74A9" w:rsidRPr="00C22859" w14:paraId="3D37A5BB" w14:textId="77777777" w:rsidTr="00A82178">
        <w:trPr>
          <w:trHeight w:val="222"/>
        </w:trPr>
        <w:tc>
          <w:tcPr>
            <w:tcW w:w="6987" w:type="dxa"/>
            <w:noWrap/>
            <w:vAlign w:val="bottom"/>
            <w:hideMark/>
          </w:tcPr>
          <w:p w14:paraId="260D16F3" w14:textId="77777777" w:rsidR="001C74A9" w:rsidRPr="00C22859" w:rsidRDefault="001C74A9" w:rsidP="00964638">
            <w:pPr>
              <w:pStyle w:val="NoSpacing"/>
            </w:pPr>
            <w:r>
              <w:rPr>
                <w:color w:val="000000"/>
              </w:rPr>
              <w:t>LDLR c.1048C&gt;T p.(Arg350*)</w:t>
            </w:r>
          </w:p>
        </w:tc>
        <w:tc>
          <w:tcPr>
            <w:tcW w:w="2290" w:type="dxa"/>
            <w:noWrap/>
            <w:vAlign w:val="bottom"/>
            <w:hideMark/>
          </w:tcPr>
          <w:p w14:paraId="5F363261" w14:textId="77777777" w:rsidR="001C74A9" w:rsidRPr="00C22859" w:rsidRDefault="001C74A9" w:rsidP="00964638">
            <w:pPr>
              <w:pStyle w:val="NoSpacing"/>
            </w:pPr>
            <w:r>
              <w:rPr>
                <w:color w:val="000000"/>
              </w:rPr>
              <w:t>1</w:t>
            </w:r>
          </w:p>
        </w:tc>
      </w:tr>
      <w:tr w:rsidR="001C74A9" w:rsidRPr="00C22859" w14:paraId="6309AFB3" w14:textId="77777777" w:rsidTr="00A82178">
        <w:trPr>
          <w:trHeight w:val="222"/>
        </w:trPr>
        <w:tc>
          <w:tcPr>
            <w:tcW w:w="6987" w:type="dxa"/>
            <w:noWrap/>
            <w:vAlign w:val="bottom"/>
            <w:hideMark/>
          </w:tcPr>
          <w:p w14:paraId="1ADDBF64" w14:textId="77777777" w:rsidR="001C74A9" w:rsidRPr="00C22859" w:rsidRDefault="001C74A9" w:rsidP="00964638">
            <w:pPr>
              <w:pStyle w:val="NoSpacing"/>
            </w:pPr>
            <w:r>
              <w:rPr>
                <w:color w:val="000000"/>
              </w:rPr>
              <w:t>LDLR c.1187-10G&gt;A</w:t>
            </w:r>
          </w:p>
        </w:tc>
        <w:tc>
          <w:tcPr>
            <w:tcW w:w="2290" w:type="dxa"/>
            <w:noWrap/>
            <w:vAlign w:val="bottom"/>
            <w:hideMark/>
          </w:tcPr>
          <w:p w14:paraId="48042B9B" w14:textId="77777777" w:rsidR="001C74A9" w:rsidRPr="00C22859" w:rsidRDefault="001C74A9" w:rsidP="00964638">
            <w:pPr>
              <w:pStyle w:val="NoSpacing"/>
            </w:pPr>
            <w:r>
              <w:rPr>
                <w:color w:val="000000"/>
              </w:rPr>
              <w:t>1</w:t>
            </w:r>
          </w:p>
        </w:tc>
      </w:tr>
      <w:tr w:rsidR="001C74A9" w:rsidRPr="00C22859" w14:paraId="31EF0204" w14:textId="77777777" w:rsidTr="00A82178">
        <w:trPr>
          <w:trHeight w:val="222"/>
        </w:trPr>
        <w:tc>
          <w:tcPr>
            <w:tcW w:w="6987" w:type="dxa"/>
            <w:noWrap/>
            <w:vAlign w:val="bottom"/>
            <w:hideMark/>
          </w:tcPr>
          <w:p w14:paraId="05A6506E" w14:textId="77777777" w:rsidR="001C74A9" w:rsidRPr="00C22859" w:rsidRDefault="001C74A9" w:rsidP="00964638">
            <w:pPr>
              <w:pStyle w:val="NoSpacing"/>
            </w:pPr>
            <w:r>
              <w:rPr>
                <w:color w:val="000000"/>
              </w:rPr>
              <w:t>LDLR c.1359-31_1359-23delinsCGGCT</w:t>
            </w:r>
          </w:p>
        </w:tc>
        <w:tc>
          <w:tcPr>
            <w:tcW w:w="2290" w:type="dxa"/>
            <w:noWrap/>
            <w:vAlign w:val="bottom"/>
            <w:hideMark/>
          </w:tcPr>
          <w:p w14:paraId="58683CBD" w14:textId="77777777" w:rsidR="001C74A9" w:rsidRPr="00C22859" w:rsidRDefault="001C74A9" w:rsidP="00964638">
            <w:pPr>
              <w:pStyle w:val="NoSpacing"/>
            </w:pPr>
            <w:r>
              <w:rPr>
                <w:color w:val="000000"/>
              </w:rPr>
              <w:t>3</w:t>
            </w:r>
          </w:p>
        </w:tc>
      </w:tr>
      <w:tr w:rsidR="001C74A9" w:rsidRPr="00C22859" w14:paraId="7657DFD9" w14:textId="77777777" w:rsidTr="00A82178">
        <w:trPr>
          <w:trHeight w:val="222"/>
        </w:trPr>
        <w:tc>
          <w:tcPr>
            <w:tcW w:w="6987" w:type="dxa"/>
            <w:noWrap/>
            <w:vAlign w:val="bottom"/>
            <w:hideMark/>
          </w:tcPr>
          <w:p w14:paraId="392D27C0" w14:textId="77777777" w:rsidR="001C74A9" w:rsidRPr="00C22859" w:rsidRDefault="001C74A9" w:rsidP="00964638">
            <w:pPr>
              <w:pStyle w:val="NoSpacing"/>
            </w:pPr>
            <w:r>
              <w:rPr>
                <w:color w:val="000000"/>
              </w:rPr>
              <w:t>LDLR c.1444G&gt;A p.(Asp482Asn)</w:t>
            </w:r>
          </w:p>
        </w:tc>
        <w:tc>
          <w:tcPr>
            <w:tcW w:w="2290" w:type="dxa"/>
            <w:noWrap/>
            <w:vAlign w:val="bottom"/>
            <w:hideMark/>
          </w:tcPr>
          <w:p w14:paraId="145AB17E" w14:textId="77777777" w:rsidR="001C74A9" w:rsidRPr="00C22859" w:rsidRDefault="001C74A9" w:rsidP="00964638">
            <w:pPr>
              <w:pStyle w:val="NoSpacing"/>
            </w:pPr>
            <w:r>
              <w:rPr>
                <w:color w:val="000000"/>
              </w:rPr>
              <w:t>9</w:t>
            </w:r>
          </w:p>
        </w:tc>
      </w:tr>
      <w:tr w:rsidR="001C74A9" w:rsidRPr="00C22859" w14:paraId="5FE2601A" w14:textId="77777777" w:rsidTr="00A82178">
        <w:trPr>
          <w:trHeight w:val="222"/>
        </w:trPr>
        <w:tc>
          <w:tcPr>
            <w:tcW w:w="6987" w:type="dxa"/>
            <w:noWrap/>
            <w:vAlign w:val="bottom"/>
            <w:hideMark/>
          </w:tcPr>
          <w:p w14:paraId="24338710" w14:textId="77777777" w:rsidR="001C74A9" w:rsidRPr="00C22859" w:rsidRDefault="001C74A9" w:rsidP="00964638">
            <w:pPr>
              <w:pStyle w:val="NoSpacing"/>
            </w:pPr>
            <w:r>
              <w:rPr>
                <w:color w:val="000000"/>
              </w:rPr>
              <w:t>LDLR c.1444G&gt;C p.(Asp482His)</w:t>
            </w:r>
          </w:p>
        </w:tc>
        <w:tc>
          <w:tcPr>
            <w:tcW w:w="2290" w:type="dxa"/>
            <w:noWrap/>
            <w:vAlign w:val="bottom"/>
            <w:hideMark/>
          </w:tcPr>
          <w:p w14:paraId="67D134C5" w14:textId="77777777" w:rsidR="001C74A9" w:rsidRPr="00C22859" w:rsidRDefault="001C74A9" w:rsidP="00964638">
            <w:pPr>
              <w:pStyle w:val="NoSpacing"/>
            </w:pPr>
            <w:r>
              <w:rPr>
                <w:color w:val="000000"/>
              </w:rPr>
              <w:t>1</w:t>
            </w:r>
          </w:p>
        </w:tc>
      </w:tr>
      <w:tr w:rsidR="001C74A9" w:rsidRPr="00C22859" w14:paraId="5825CA4A" w14:textId="77777777" w:rsidTr="00A82178">
        <w:trPr>
          <w:trHeight w:val="222"/>
        </w:trPr>
        <w:tc>
          <w:tcPr>
            <w:tcW w:w="6987" w:type="dxa"/>
            <w:noWrap/>
            <w:vAlign w:val="bottom"/>
            <w:hideMark/>
          </w:tcPr>
          <w:p w14:paraId="0A8DACED" w14:textId="77777777" w:rsidR="001C74A9" w:rsidRPr="00C22859" w:rsidRDefault="001C74A9" w:rsidP="00964638">
            <w:pPr>
              <w:pStyle w:val="NoSpacing"/>
            </w:pPr>
            <w:r>
              <w:rPr>
                <w:color w:val="000000"/>
              </w:rPr>
              <w:t>LDLR c.1463T&gt;G p.(Ile488Ser)</w:t>
            </w:r>
          </w:p>
        </w:tc>
        <w:tc>
          <w:tcPr>
            <w:tcW w:w="2290" w:type="dxa"/>
            <w:noWrap/>
            <w:vAlign w:val="bottom"/>
            <w:hideMark/>
          </w:tcPr>
          <w:p w14:paraId="782FADA7" w14:textId="77777777" w:rsidR="001C74A9" w:rsidRPr="00C22859" w:rsidRDefault="001C74A9" w:rsidP="00964638">
            <w:pPr>
              <w:pStyle w:val="NoSpacing"/>
            </w:pPr>
            <w:r>
              <w:rPr>
                <w:color w:val="000000"/>
              </w:rPr>
              <w:t>1</w:t>
            </w:r>
          </w:p>
        </w:tc>
      </w:tr>
      <w:tr w:rsidR="001C74A9" w:rsidRPr="00C22859" w14:paraId="570A0273" w14:textId="77777777" w:rsidTr="00A82178">
        <w:trPr>
          <w:trHeight w:val="222"/>
        </w:trPr>
        <w:tc>
          <w:tcPr>
            <w:tcW w:w="6987" w:type="dxa"/>
            <w:noWrap/>
            <w:vAlign w:val="bottom"/>
            <w:hideMark/>
          </w:tcPr>
          <w:p w14:paraId="3CCE6501" w14:textId="77777777" w:rsidR="001C74A9" w:rsidRPr="00C22859" w:rsidRDefault="001C74A9" w:rsidP="00964638">
            <w:pPr>
              <w:pStyle w:val="NoSpacing"/>
            </w:pPr>
            <w:r>
              <w:rPr>
                <w:color w:val="000000"/>
              </w:rPr>
              <w:t>LDLR c.1897C&gt;T p.(Arg633Cys)</w:t>
            </w:r>
          </w:p>
        </w:tc>
        <w:tc>
          <w:tcPr>
            <w:tcW w:w="2290" w:type="dxa"/>
            <w:noWrap/>
            <w:vAlign w:val="bottom"/>
            <w:hideMark/>
          </w:tcPr>
          <w:p w14:paraId="5505B553" w14:textId="77777777" w:rsidR="001C74A9" w:rsidRPr="00C22859" w:rsidRDefault="001C74A9" w:rsidP="00964638">
            <w:pPr>
              <w:pStyle w:val="NoSpacing"/>
            </w:pPr>
            <w:r>
              <w:rPr>
                <w:color w:val="000000"/>
              </w:rPr>
              <w:t>5</w:t>
            </w:r>
          </w:p>
        </w:tc>
      </w:tr>
      <w:tr w:rsidR="001C74A9" w:rsidRPr="00C22859" w14:paraId="61542B72" w14:textId="77777777" w:rsidTr="00A82178">
        <w:trPr>
          <w:trHeight w:val="222"/>
        </w:trPr>
        <w:tc>
          <w:tcPr>
            <w:tcW w:w="6987" w:type="dxa"/>
            <w:noWrap/>
            <w:vAlign w:val="bottom"/>
            <w:hideMark/>
          </w:tcPr>
          <w:p w14:paraId="360CD2B0" w14:textId="77777777" w:rsidR="001C74A9" w:rsidRPr="00C22859" w:rsidRDefault="001C74A9" w:rsidP="00964638">
            <w:pPr>
              <w:pStyle w:val="NoSpacing"/>
            </w:pPr>
            <w:r>
              <w:rPr>
                <w:color w:val="000000"/>
              </w:rPr>
              <w:t>LDLR c.2054C&gt;T p.(Pro685Leu)</w:t>
            </w:r>
          </w:p>
        </w:tc>
        <w:tc>
          <w:tcPr>
            <w:tcW w:w="2290" w:type="dxa"/>
            <w:noWrap/>
            <w:vAlign w:val="bottom"/>
            <w:hideMark/>
          </w:tcPr>
          <w:p w14:paraId="24FB8CC5" w14:textId="77777777" w:rsidR="001C74A9" w:rsidRPr="00C22859" w:rsidRDefault="001C74A9" w:rsidP="00964638">
            <w:pPr>
              <w:pStyle w:val="NoSpacing"/>
            </w:pPr>
            <w:r>
              <w:rPr>
                <w:color w:val="000000"/>
              </w:rPr>
              <w:t>5</w:t>
            </w:r>
          </w:p>
        </w:tc>
      </w:tr>
      <w:tr w:rsidR="001C74A9" w:rsidRPr="00C22859" w14:paraId="2374E972" w14:textId="77777777" w:rsidTr="00A82178">
        <w:trPr>
          <w:trHeight w:val="222"/>
        </w:trPr>
        <w:tc>
          <w:tcPr>
            <w:tcW w:w="6987" w:type="dxa"/>
            <w:noWrap/>
            <w:vAlign w:val="bottom"/>
            <w:hideMark/>
          </w:tcPr>
          <w:p w14:paraId="751391FF" w14:textId="77777777" w:rsidR="001C74A9" w:rsidRPr="00C22859" w:rsidRDefault="001C74A9" w:rsidP="00964638">
            <w:pPr>
              <w:pStyle w:val="NoSpacing"/>
            </w:pPr>
            <w:r>
              <w:rPr>
                <w:color w:val="000000"/>
              </w:rPr>
              <w:t>LDLR c.259T&gt;G p.(Trp87Gly)</w:t>
            </w:r>
          </w:p>
        </w:tc>
        <w:tc>
          <w:tcPr>
            <w:tcW w:w="2290" w:type="dxa"/>
            <w:noWrap/>
            <w:vAlign w:val="bottom"/>
            <w:hideMark/>
          </w:tcPr>
          <w:p w14:paraId="0AD4DED3" w14:textId="77777777" w:rsidR="001C74A9" w:rsidRPr="00C22859" w:rsidRDefault="001C74A9" w:rsidP="00964638">
            <w:pPr>
              <w:pStyle w:val="NoSpacing"/>
            </w:pPr>
            <w:r>
              <w:rPr>
                <w:color w:val="000000"/>
              </w:rPr>
              <w:t>1</w:t>
            </w:r>
          </w:p>
        </w:tc>
      </w:tr>
      <w:tr w:rsidR="001C74A9" w:rsidRPr="00C22859" w14:paraId="72157480" w14:textId="77777777" w:rsidTr="00A82178">
        <w:trPr>
          <w:trHeight w:val="222"/>
        </w:trPr>
        <w:tc>
          <w:tcPr>
            <w:tcW w:w="6987" w:type="dxa"/>
            <w:noWrap/>
            <w:vAlign w:val="bottom"/>
            <w:hideMark/>
          </w:tcPr>
          <w:p w14:paraId="572C7502" w14:textId="77777777" w:rsidR="001C74A9" w:rsidRPr="00C22859" w:rsidRDefault="001C74A9" w:rsidP="00964638">
            <w:pPr>
              <w:pStyle w:val="NoSpacing"/>
            </w:pPr>
            <w:r>
              <w:rPr>
                <w:color w:val="000000"/>
              </w:rPr>
              <w:t>LDLR c.301G&gt;A p.(Glu101Lys)</w:t>
            </w:r>
          </w:p>
        </w:tc>
        <w:tc>
          <w:tcPr>
            <w:tcW w:w="2290" w:type="dxa"/>
            <w:noWrap/>
            <w:vAlign w:val="bottom"/>
            <w:hideMark/>
          </w:tcPr>
          <w:p w14:paraId="5F91A936" w14:textId="77777777" w:rsidR="001C74A9" w:rsidRPr="00C22859" w:rsidRDefault="001C74A9" w:rsidP="00964638">
            <w:pPr>
              <w:pStyle w:val="NoSpacing"/>
            </w:pPr>
            <w:r>
              <w:rPr>
                <w:color w:val="000000"/>
              </w:rPr>
              <w:t>1</w:t>
            </w:r>
          </w:p>
        </w:tc>
      </w:tr>
      <w:tr w:rsidR="001C74A9" w:rsidRPr="00C22859" w14:paraId="251ED511" w14:textId="77777777" w:rsidTr="00A82178">
        <w:trPr>
          <w:trHeight w:val="222"/>
        </w:trPr>
        <w:tc>
          <w:tcPr>
            <w:tcW w:w="6987" w:type="dxa"/>
            <w:noWrap/>
            <w:vAlign w:val="bottom"/>
            <w:hideMark/>
          </w:tcPr>
          <w:p w14:paraId="3C234451" w14:textId="77777777" w:rsidR="001C74A9" w:rsidRPr="00C22859" w:rsidRDefault="001C74A9" w:rsidP="00964638">
            <w:pPr>
              <w:pStyle w:val="NoSpacing"/>
            </w:pPr>
            <w:r>
              <w:rPr>
                <w:color w:val="000000"/>
              </w:rPr>
              <w:t>LDLR c.313+1G&gt;A</w:t>
            </w:r>
          </w:p>
        </w:tc>
        <w:tc>
          <w:tcPr>
            <w:tcW w:w="2290" w:type="dxa"/>
            <w:noWrap/>
            <w:vAlign w:val="bottom"/>
            <w:hideMark/>
          </w:tcPr>
          <w:p w14:paraId="3000ADF8" w14:textId="77777777" w:rsidR="001C74A9" w:rsidRPr="00C22859" w:rsidRDefault="001C74A9" w:rsidP="00964638">
            <w:pPr>
              <w:pStyle w:val="NoSpacing"/>
            </w:pPr>
            <w:r>
              <w:rPr>
                <w:color w:val="000000"/>
              </w:rPr>
              <w:t>2</w:t>
            </w:r>
          </w:p>
        </w:tc>
      </w:tr>
      <w:tr w:rsidR="001C74A9" w:rsidRPr="00C22859" w14:paraId="1F125EFB" w14:textId="77777777" w:rsidTr="00A82178">
        <w:trPr>
          <w:trHeight w:val="222"/>
        </w:trPr>
        <w:tc>
          <w:tcPr>
            <w:tcW w:w="6987" w:type="dxa"/>
            <w:noWrap/>
            <w:vAlign w:val="bottom"/>
            <w:hideMark/>
          </w:tcPr>
          <w:p w14:paraId="2AE0BC14" w14:textId="77777777" w:rsidR="001C74A9" w:rsidRPr="00C22859" w:rsidRDefault="001C74A9" w:rsidP="00964638">
            <w:pPr>
              <w:pStyle w:val="NoSpacing"/>
            </w:pPr>
            <w:r>
              <w:rPr>
                <w:color w:val="000000"/>
              </w:rPr>
              <w:t>LDLR c.326G&gt;A p.(Cys109Tyr)</w:t>
            </w:r>
          </w:p>
        </w:tc>
        <w:tc>
          <w:tcPr>
            <w:tcW w:w="2290" w:type="dxa"/>
            <w:noWrap/>
            <w:vAlign w:val="bottom"/>
            <w:hideMark/>
          </w:tcPr>
          <w:p w14:paraId="0A9C0903" w14:textId="77777777" w:rsidR="001C74A9" w:rsidRPr="00C22859" w:rsidRDefault="001C74A9" w:rsidP="00964638">
            <w:pPr>
              <w:pStyle w:val="NoSpacing"/>
            </w:pPr>
            <w:r>
              <w:rPr>
                <w:color w:val="000000"/>
              </w:rPr>
              <w:t>2</w:t>
            </w:r>
          </w:p>
        </w:tc>
      </w:tr>
      <w:tr w:rsidR="001C74A9" w:rsidRPr="00C22859" w14:paraId="2000FB5F" w14:textId="77777777" w:rsidTr="00A82178">
        <w:trPr>
          <w:trHeight w:val="222"/>
        </w:trPr>
        <w:tc>
          <w:tcPr>
            <w:tcW w:w="6987" w:type="dxa"/>
            <w:noWrap/>
            <w:vAlign w:val="bottom"/>
            <w:hideMark/>
          </w:tcPr>
          <w:p w14:paraId="1ED28114" w14:textId="77777777" w:rsidR="001C74A9" w:rsidRPr="00C22859" w:rsidRDefault="001C74A9" w:rsidP="00964638">
            <w:pPr>
              <w:pStyle w:val="NoSpacing"/>
            </w:pPr>
            <w:r>
              <w:rPr>
                <w:color w:val="000000"/>
              </w:rPr>
              <w:t>LDLR c.660delC p.(Asp221Thrfs*44)</w:t>
            </w:r>
          </w:p>
        </w:tc>
        <w:tc>
          <w:tcPr>
            <w:tcW w:w="2290" w:type="dxa"/>
            <w:noWrap/>
            <w:vAlign w:val="bottom"/>
            <w:hideMark/>
          </w:tcPr>
          <w:p w14:paraId="0CAE9118" w14:textId="77777777" w:rsidR="001C74A9" w:rsidRPr="00C22859" w:rsidRDefault="001C74A9" w:rsidP="00964638">
            <w:pPr>
              <w:pStyle w:val="NoSpacing"/>
            </w:pPr>
            <w:r>
              <w:rPr>
                <w:color w:val="000000"/>
              </w:rPr>
              <w:t>1</w:t>
            </w:r>
          </w:p>
        </w:tc>
      </w:tr>
      <w:tr w:rsidR="001C74A9" w:rsidRPr="00C22859" w14:paraId="54BC3F75" w14:textId="77777777" w:rsidTr="00A82178">
        <w:trPr>
          <w:trHeight w:val="222"/>
        </w:trPr>
        <w:tc>
          <w:tcPr>
            <w:tcW w:w="6987" w:type="dxa"/>
            <w:noWrap/>
            <w:vAlign w:val="bottom"/>
            <w:hideMark/>
          </w:tcPr>
          <w:p w14:paraId="60B82115" w14:textId="77777777" w:rsidR="001C74A9" w:rsidRPr="00C22859" w:rsidRDefault="001C74A9" w:rsidP="00964638">
            <w:pPr>
              <w:pStyle w:val="NoSpacing"/>
            </w:pPr>
            <w:r>
              <w:rPr>
                <w:color w:val="000000"/>
              </w:rPr>
              <w:t>LDLR c.662A&gt;G p.(Asp221Gly)</w:t>
            </w:r>
          </w:p>
        </w:tc>
        <w:tc>
          <w:tcPr>
            <w:tcW w:w="2290" w:type="dxa"/>
            <w:noWrap/>
            <w:vAlign w:val="bottom"/>
            <w:hideMark/>
          </w:tcPr>
          <w:p w14:paraId="12DA1DF7" w14:textId="77777777" w:rsidR="001C74A9" w:rsidRPr="00C22859" w:rsidRDefault="001C74A9" w:rsidP="00964638">
            <w:pPr>
              <w:pStyle w:val="NoSpacing"/>
            </w:pPr>
            <w:r>
              <w:rPr>
                <w:color w:val="000000"/>
              </w:rPr>
              <w:t>1</w:t>
            </w:r>
          </w:p>
        </w:tc>
      </w:tr>
      <w:tr w:rsidR="001C74A9" w:rsidRPr="00C22859" w14:paraId="56B7C29B" w14:textId="77777777" w:rsidTr="00A82178">
        <w:trPr>
          <w:trHeight w:val="222"/>
        </w:trPr>
        <w:tc>
          <w:tcPr>
            <w:tcW w:w="6987" w:type="dxa"/>
            <w:noWrap/>
            <w:vAlign w:val="bottom"/>
            <w:hideMark/>
          </w:tcPr>
          <w:p w14:paraId="54DB4438" w14:textId="77777777" w:rsidR="001C74A9" w:rsidRPr="00C22859" w:rsidRDefault="001C74A9" w:rsidP="00964638">
            <w:pPr>
              <w:pStyle w:val="NoSpacing"/>
            </w:pPr>
            <w:r>
              <w:rPr>
                <w:color w:val="000000"/>
              </w:rPr>
              <w:t>LDLR c.681C&gt;G p.(Asp227Glu)</w:t>
            </w:r>
          </w:p>
        </w:tc>
        <w:tc>
          <w:tcPr>
            <w:tcW w:w="2290" w:type="dxa"/>
            <w:noWrap/>
            <w:vAlign w:val="bottom"/>
            <w:hideMark/>
          </w:tcPr>
          <w:p w14:paraId="7AD4F494" w14:textId="77777777" w:rsidR="001C74A9" w:rsidRPr="00C22859" w:rsidRDefault="001C74A9" w:rsidP="00964638">
            <w:pPr>
              <w:pStyle w:val="NoSpacing"/>
            </w:pPr>
            <w:r>
              <w:rPr>
                <w:color w:val="000000"/>
              </w:rPr>
              <w:t>1</w:t>
            </w:r>
          </w:p>
        </w:tc>
      </w:tr>
      <w:tr w:rsidR="001C74A9" w:rsidRPr="00C22859" w14:paraId="0BA6AFA9" w14:textId="77777777" w:rsidTr="00A82178">
        <w:trPr>
          <w:trHeight w:val="222"/>
        </w:trPr>
        <w:tc>
          <w:tcPr>
            <w:tcW w:w="6987" w:type="dxa"/>
            <w:noWrap/>
            <w:vAlign w:val="bottom"/>
            <w:hideMark/>
          </w:tcPr>
          <w:p w14:paraId="62B1A36D" w14:textId="77777777" w:rsidR="001C74A9" w:rsidRPr="00C22859" w:rsidRDefault="001C74A9" w:rsidP="00964638">
            <w:pPr>
              <w:pStyle w:val="NoSpacing"/>
            </w:pPr>
            <w:r>
              <w:rPr>
                <w:color w:val="000000"/>
              </w:rPr>
              <w:t>LDLR c.682G&gt;T p.(Glu228X)</w:t>
            </w:r>
          </w:p>
        </w:tc>
        <w:tc>
          <w:tcPr>
            <w:tcW w:w="2290" w:type="dxa"/>
            <w:noWrap/>
            <w:vAlign w:val="bottom"/>
            <w:hideMark/>
          </w:tcPr>
          <w:p w14:paraId="53D774BF" w14:textId="77777777" w:rsidR="001C74A9" w:rsidRPr="00C22859" w:rsidRDefault="001C74A9" w:rsidP="00964638">
            <w:pPr>
              <w:pStyle w:val="NoSpacing"/>
            </w:pPr>
            <w:r>
              <w:rPr>
                <w:color w:val="000000"/>
              </w:rPr>
              <w:t>2</w:t>
            </w:r>
          </w:p>
        </w:tc>
      </w:tr>
      <w:tr w:rsidR="001C74A9" w:rsidRPr="00C22859" w14:paraId="3566AF9D" w14:textId="77777777" w:rsidTr="00A82178">
        <w:trPr>
          <w:trHeight w:val="222"/>
        </w:trPr>
        <w:tc>
          <w:tcPr>
            <w:tcW w:w="6987" w:type="dxa"/>
            <w:noWrap/>
            <w:vAlign w:val="bottom"/>
            <w:hideMark/>
          </w:tcPr>
          <w:p w14:paraId="14ADABEE" w14:textId="77777777" w:rsidR="001C74A9" w:rsidRPr="00C22859" w:rsidRDefault="001C74A9" w:rsidP="00964638">
            <w:pPr>
              <w:pStyle w:val="NoSpacing"/>
            </w:pPr>
            <w:r>
              <w:rPr>
                <w:color w:val="000000"/>
              </w:rPr>
              <w:t>LDLR c.932_933delAA p.(Lys311Argfs*)</w:t>
            </w:r>
          </w:p>
        </w:tc>
        <w:tc>
          <w:tcPr>
            <w:tcW w:w="2290" w:type="dxa"/>
            <w:noWrap/>
            <w:vAlign w:val="bottom"/>
            <w:hideMark/>
          </w:tcPr>
          <w:p w14:paraId="65A99284" w14:textId="77777777" w:rsidR="001C74A9" w:rsidRPr="00C22859" w:rsidRDefault="001C74A9" w:rsidP="00964638">
            <w:pPr>
              <w:pStyle w:val="NoSpacing"/>
            </w:pPr>
            <w:r>
              <w:rPr>
                <w:color w:val="000000"/>
              </w:rPr>
              <w:t>1</w:t>
            </w:r>
          </w:p>
        </w:tc>
      </w:tr>
      <w:tr w:rsidR="001C74A9" w:rsidRPr="00C22859" w14:paraId="5BEA28E8" w14:textId="77777777" w:rsidTr="00A82178">
        <w:trPr>
          <w:trHeight w:val="222"/>
        </w:trPr>
        <w:tc>
          <w:tcPr>
            <w:tcW w:w="6987" w:type="dxa"/>
            <w:noWrap/>
            <w:vAlign w:val="bottom"/>
            <w:hideMark/>
          </w:tcPr>
          <w:p w14:paraId="3F6BF5D3" w14:textId="77777777" w:rsidR="001C74A9" w:rsidRPr="00C22859" w:rsidRDefault="001C74A9" w:rsidP="00964638">
            <w:pPr>
              <w:pStyle w:val="NoSpacing"/>
            </w:pPr>
            <w:r>
              <w:rPr>
                <w:color w:val="000000"/>
              </w:rPr>
              <w:t>NMD</w:t>
            </w:r>
          </w:p>
        </w:tc>
        <w:tc>
          <w:tcPr>
            <w:tcW w:w="2290" w:type="dxa"/>
            <w:noWrap/>
            <w:vAlign w:val="bottom"/>
            <w:hideMark/>
          </w:tcPr>
          <w:p w14:paraId="2BC266B0" w14:textId="191CDD1E" w:rsidR="001C74A9" w:rsidRPr="00C22859" w:rsidRDefault="003709D4" w:rsidP="00964638">
            <w:pPr>
              <w:pStyle w:val="NoSpacing"/>
            </w:pPr>
            <w:r>
              <w:rPr>
                <w:color w:val="000000"/>
              </w:rPr>
              <w:t>209</w:t>
            </w:r>
          </w:p>
        </w:tc>
      </w:tr>
      <w:tr w:rsidR="001C74A9" w:rsidRPr="00C22859" w14:paraId="580806F2" w14:textId="77777777" w:rsidTr="00A82178">
        <w:trPr>
          <w:trHeight w:val="222"/>
        </w:trPr>
        <w:tc>
          <w:tcPr>
            <w:tcW w:w="6987" w:type="dxa"/>
            <w:noWrap/>
            <w:vAlign w:val="bottom"/>
            <w:hideMark/>
          </w:tcPr>
          <w:p w14:paraId="4130243F" w14:textId="77777777" w:rsidR="001C74A9" w:rsidRPr="00C22859" w:rsidRDefault="001C74A9" w:rsidP="00964638">
            <w:pPr>
              <w:pStyle w:val="NoSpacing"/>
            </w:pPr>
            <w:r>
              <w:rPr>
                <w:color w:val="000000"/>
              </w:rPr>
              <w:t>NOT DONE</w:t>
            </w:r>
          </w:p>
        </w:tc>
        <w:tc>
          <w:tcPr>
            <w:tcW w:w="2290" w:type="dxa"/>
            <w:noWrap/>
            <w:vAlign w:val="bottom"/>
            <w:hideMark/>
          </w:tcPr>
          <w:p w14:paraId="6EEB682A" w14:textId="7B820971" w:rsidR="001C74A9" w:rsidRPr="00C22859" w:rsidRDefault="003709D4" w:rsidP="00964638">
            <w:pPr>
              <w:pStyle w:val="NoSpacing"/>
            </w:pPr>
            <w:r>
              <w:rPr>
                <w:color w:val="000000"/>
              </w:rPr>
              <w:t>2</w:t>
            </w:r>
          </w:p>
        </w:tc>
      </w:tr>
      <w:tr w:rsidR="001C74A9" w:rsidRPr="00C22859" w14:paraId="49037B0B" w14:textId="77777777" w:rsidTr="00A82178">
        <w:trPr>
          <w:trHeight w:val="222"/>
        </w:trPr>
        <w:tc>
          <w:tcPr>
            <w:tcW w:w="6987" w:type="dxa"/>
            <w:shd w:val="clear" w:color="auto" w:fill="E2EFD9" w:themeFill="accent6" w:themeFillTint="33"/>
            <w:noWrap/>
            <w:vAlign w:val="bottom"/>
          </w:tcPr>
          <w:p w14:paraId="46FF5D23" w14:textId="77777777" w:rsidR="001C74A9" w:rsidRPr="00C22859" w:rsidRDefault="001C74A9" w:rsidP="00964638">
            <w:pPr>
              <w:pStyle w:val="NoSpacing"/>
              <w:rPr>
                <w:b/>
              </w:rPr>
            </w:pPr>
            <w:r>
              <w:rPr>
                <w:color w:val="000000"/>
              </w:rPr>
              <w:t>Total</w:t>
            </w:r>
          </w:p>
        </w:tc>
        <w:tc>
          <w:tcPr>
            <w:tcW w:w="2290" w:type="dxa"/>
            <w:shd w:val="clear" w:color="auto" w:fill="E2EFD9" w:themeFill="accent6" w:themeFillTint="33"/>
            <w:noWrap/>
            <w:vAlign w:val="bottom"/>
          </w:tcPr>
          <w:p w14:paraId="4DA4DEC8" w14:textId="77777777" w:rsidR="001C74A9" w:rsidRPr="00C22859" w:rsidRDefault="001C74A9" w:rsidP="00964638">
            <w:pPr>
              <w:pStyle w:val="NoSpacing"/>
              <w:keepNext/>
              <w:rPr>
                <w:b/>
              </w:rPr>
            </w:pPr>
            <w:r>
              <w:rPr>
                <w:color w:val="000000"/>
              </w:rPr>
              <w:t>258</w:t>
            </w:r>
          </w:p>
        </w:tc>
      </w:tr>
    </w:tbl>
    <w:p w14:paraId="1660C7FB" w14:textId="77777777" w:rsidR="001C74A9" w:rsidRPr="001C74A9" w:rsidRDefault="001C74A9" w:rsidP="001C74A9"/>
    <w:p w14:paraId="1EECCAB1" w14:textId="1226DC23" w:rsidR="00A82178" w:rsidRDefault="00A82178" w:rsidP="00A82178">
      <w:pPr>
        <w:pStyle w:val="Caption"/>
        <w:keepNext/>
      </w:pPr>
      <w:r>
        <w:t xml:space="preserve">Table </w:t>
      </w:r>
      <w:fldSimple w:instr=" SEQ Table \* ARABIC ">
        <w:r>
          <w:rPr>
            <w:noProof/>
          </w:rPr>
          <w:t>7</w:t>
        </w:r>
      </w:fldSimple>
      <w:r>
        <w:t xml:space="preserve"> Frequency of mutations picked up by NGS testing</w:t>
      </w:r>
    </w:p>
    <w:tbl>
      <w:tblPr>
        <w:tblStyle w:val="TableGrid"/>
        <w:tblW w:w="0" w:type="auto"/>
        <w:tblLook w:val="04A0" w:firstRow="1" w:lastRow="0" w:firstColumn="1" w:lastColumn="0" w:noHBand="0" w:noVBand="1"/>
      </w:tblPr>
      <w:tblGrid>
        <w:gridCol w:w="4379"/>
        <w:gridCol w:w="1466"/>
        <w:gridCol w:w="3171"/>
      </w:tblGrid>
      <w:tr w:rsidR="001C74A9" w:rsidRPr="00C2456F" w14:paraId="07C4BB75" w14:textId="77777777" w:rsidTr="00964638">
        <w:trPr>
          <w:trHeight w:val="300"/>
        </w:trPr>
        <w:tc>
          <w:tcPr>
            <w:tcW w:w="4379" w:type="dxa"/>
            <w:shd w:val="clear" w:color="auto" w:fill="EDEDED" w:themeFill="accent3" w:themeFillTint="33"/>
            <w:noWrap/>
            <w:hideMark/>
          </w:tcPr>
          <w:p w14:paraId="19E4A687" w14:textId="77777777" w:rsidR="001C74A9" w:rsidRPr="001C74A9" w:rsidRDefault="001C74A9" w:rsidP="00964638">
            <w:pPr>
              <w:pStyle w:val="NoSpacing"/>
              <w:rPr>
                <w:b/>
              </w:rPr>
            </w:pPr>
            <w:r w:rsidRPr="001C74A9">
              <w:rPr>
                <w:b/>
              </w:rPr>
              <w:t>Mutation</w:t>
            </w:r>
          </w:p>
        </w:tc>
        <w:tc>
          <w:tcPr>
            <w:tcW w:w="1466" w:type="dxa"/>
            <w:shd w:val="clear" w:color="auto" w:fill="EDEDED" w:themeFill="accent3" w:themeFillTint="33"/>
            <w:noWrap/>
            <w:hideMark/>
          </w:tcPr>
          <w:p w14:paraId="73D54150" w14:textId="77777777" w:rsidR="001C74A9" w:rsidRPr="001C74A9" w:rsidRDefault="001C74A9" w:rsidP="00964638">
            <w:pPr>
              <w:pStyle w:val="NoSpacing"/>
              <w:rPr>
                <w:b/>
              </w:rPr>
            </w:pPr>
            <w:r w:rsidRPr="001C74A9">
              <w:rPr>
                <w:b/>
              </w:rPr>
              <w:t>Frequency of detection</w:t>
            </w:r>
          </w:p>
        </w:tc>
        <w:tc>
          <w:tcPr>
            <w:tcW w:w="3171" w:type="dxa"/>
            <w:shd w:val="clear" w:color="auto" w:fill="EDEDED" w:themeFill="accent3" w:themeFillTint="33"/>
            <w:noWrap/>
            <w:hideMark/>
          </w:tcPr>
          <w:p w14:paraId="573783B6" w14:textId="77777777" w:rsidR="001C74A9" w:rsidRPr="001C74A9" w:rsidRDefault="001C74A9" w:rsidP="00964638">
            <w:pPr>
              <w:pStyle w:val="NoSpacing"/>
              <w:rPr>
                <w:b/>
              </w:rPr>
            </w:pPr>
            <w:r w:rsidRPr="001C74A9">
              <w:rPr>
                <w:b/>
              </w:rPr>
              <w:t>Point of detection</w:t>
            </w:r>
          </w:p>
        </w:tc>
      </w:tr>
      <w:tr w:rsidR="001C74A9" w:rsidRPr="00C2456F" w14:paraId="7C5CB9DB" w14:textId="77777777" w:rsidTr="00964638">
        <w:trPr>
          <w:trHeight w:val="300"/>
        </w:trPr>
        <w:tc>
          <w:tcPr>
            <w:tcW w:w="4379" w:type="dxa"/>
            <w:noWrap/>
            <w:hideMark/>
          </w:tcPr>
          <w:p w14:paraId="21581EEB" w14:textId="77777777" w:rsidR="001C74A9" w:rsidRPr="00C2456F" w:rsidRDefault="001C74A9" w:rsidP="00964638">
            <w:pPr>
              <w:pStyle w:val="NoSpacing"/>
            </w:pPr>
            <w:r w:rsidRPr="00C2456F">
              <w:t>APOB c.10397C&gt;A p.(Ser3466Tyr)</w:t>
            </w:r>
          </w:p>
        </w:tc>
        <w:tc>
          <w:tcPr>
            <w:tcW w:w="1466" w:type="dxa"/>
            <w:noWrap/>
            <w:hideMark/>
          </w:tcPr>
          <w:p w14:paraId="4CA6E5AD" w14:textId="77777777" w:rsidR="001C74A9" w:rsidRPr="00C2456F" w:rsidRDefault="001C74A9" w:rsidP="00964638">
            <w:pPr>
              <w:pStyle w:val="NoSpacing"/>
            </w:pPr>
            <w:r w:rsidRPr="00C2456F">
              <w:t>1</w:t>
            </w:r>
          </w:p>
        </w:tc>
        <w:tc>
          <w:tcPr>
            <w:tcW w:w="3171" w:type="dxa"/>
            <w:noWrap/>
            <w:hideMark/>
          </w:tcPr>
          <w:p w14:paraId="39C6028D" w14:textId="77777777" w:rsidR="001C74A9" w:rsidRPr="00C2456F" w:rsidRDefault="001C74A9" w:rsidP="00964638">
            <w:pPr>
              <w:pStyle w:val="NoSpacing"/>
            </w:pPr>
          </w:p>
        </w:tc>
      </w:tr>
      <w:tr w:rsidR="001C74A9" w:rsidRPr="00C2456F" w14:paraId="23A03C29" w14:textId="77777777" w:rsidTr="00964638">
        <w:trPr>
          <w:trHeight w:val="300"/>
        </w:trPr>
        <w:tc>
          <w:tcPr>
            <w:tcW w:w="4379" w:type="dxa"/>
            <w:noWrap/>
            <w:hideMark/>
          </w:tcPr>
          <w:p w14:paraId="0C52F036" w14:textId="77777777" w:rsidR="001C74A9" w:rsidRPr="00C2456F" w:rsidRDefault="001C74A9" w:rsidP="00964638">
            <w:pPr>
              <w:pStyle w:val="NoSpacing"/>
            </w:pPr>
            <w:proofErr w:type="spellStart"/>
            <w:r w:rsidRPr="00C2456F">
              <w:t>ApoB</w:t>
            </w:r>
            <w:proofErr w:type="spellEnd"/>
            <w:r w:rsidRPr="00C2456F">
              <w:t xml:space="preserve"> c.10740C&gt;T p.(Asn3580Asn) - VUS</w:t>
            </w:r>
          </w:p>
        </w:tc>
        <w:tc>
          <w:tcPr>
            <w:tcW w:w="1466" w:type="dxa"/>
            <w:noWrap/>
            <w:hideMark/>
          </w:tcPr>
          <w:p w14:paraId="64D5FF96" w14:textId="77777777" w:rsidR="001C74A9" w:rsidRPr="00C2456F" w:rsidRDefault="001C74A9" w:rsidP="00964638">
            <w:pPr>
              <w:pStyle w:val="NoSpacing"/>
            </w:pPr>
            <w:r w:rsidRPr="00C2456F">
              <w:t>1</w:t>
            </w:r>
          </w:p>
        </w:tc>
        <w:tc>
          <w:tcPr>
            <w:tcW w:w="3171" w:type="dxa"/>
            <w:noWrap/>
            <w:hideMark/>
          </w:tcPr>
          <w:p w14:paraId="00BB11A3" w14:textId="77777777" w:rsidR="001C74A9" w:rsidRPr="00C2456F" w:rsidRDefault="001C74A9" w:rsidP="00964638">
            <w:pPr>
              <w:pStyle w:val="NoSpacing"/>
            </w:pPr>
          </w:p>
        </w:tc>
      </w:tr>
      <w:tr w:rsidR="001C74A9" w:rsidRPr="00C2456F" w14:paraId="6C4B0502" w14:textId="77777777" w:rsidTr="00964638">
        <w:trPr>
          <w:trHeight w:val="300"/>
        </w:trPr>
        <w:tc>
          <w:tcPr>
            <w:tcW w:w="4379" w:type="dxa"/>
            <w:noWrap/>
            <w:hideMark/>
          </w:tcPr>
          <w:p w14:paraId="5530AF3C" w14:textId="77777777" w:rsidR="001C74A9" w:rsidRPr="00C2456F" w:rsidRDefault="001C74A9" w:rsidP="00964638">
            <w:pPr>
              <w:pStyle w:val="NoSpacing"/>
            </w:pPr>
            <w:r w:rsidRPr="00C2456F">
              <w:t>APOE c.239C&gt;A p.(Ala80Glu)</w:t>
            </w:r>
          </w:p>
        </w:tc>
        <w:tc>
          <w:tcPr>
            <w:tcW w:w="1466" w:type="dxa"/>
            <w:noWrap/>
            <w:hideMark/>
          </w:tcPr>
          <w:p w14:paraId="47BF7AEF" w14:textId="77777777" w:rsidR="001C74A9" w:rsidRPr="00C2456F" w:rsidRDefault="001C74A9" w:rsidP="00964638">
            <w:pPr>
              <w:pStyle w:val="NoSpacing"/>
            </w:pPr>
            <w:r w:rsidRPr="00C2456F">
              <w:t>1</w:t>
            </w:r>
          </w:p>
        </w:tc>
        <w:tc>
          <w:tcPr>
            <w:tcW w:w="3171" w:type="dxa"/>
            <w:noWrap/>
            <w:hideMark/>
          </w:tcPr>
          <w:p w14:paraId="17DBF4CC" w14:textId="77777777" w:rsidR="001C74A9" w:rsidRPr="00C2456F" w:rsidRDefault="001C74A9" w:rsidP="00964638">
            <w:pPr>
              <w:pStyle w:val="NoSpacing"/>
            </w:pPr>
          </w:p>
        </w:tc>
      </w:tr>
      <w:tr w:rsidR="001C74A9" w:rsidRPr="00C2456F" w14:paraId="352C4536" w14:textId="77777777" w:rsidTr="00964638">
        <w:trPr>
          <w:trHeight w:val="300"/>
        </w:trPr>
        <w:tc>
          <w:tcPr>
            <w:tcW w:w="4379" w:type="dxa"/>
            <w:noWrap/>
            <w:hideMark/>
          </w:tcPr>
          <w:p w14:paraId="150C01D5" w14:textId="77777777" w:rsidR="001C74A9" w:rsidRPr="00C2456F" w:rsidRDefault="001C74A9" w:rsidP="00964638">
            <w:pPr>
              <w:pStyle w:val="NoSpacing"/>
            </w:pPr>
            <w:proofErr w:type="spellStart"/>
            <w:r w:rsidRPr="00C2456F">
              <w:t>ApoE</w:t>
            </w:r>
            <w:proofErr w:type="spellEnd"/>
            <w:r w:rsidRPr="00C2456F">
              <w:t xml:space="preserve"> c.492_493delinsCT p.(Lys164_Arg165delinsAsnTrp) - VUS</w:t>
            </w:r>
          </w:p>
        </w:tc>
        <w:tc>
          <w:tcPr>
            <w:tcW w:w="1466" w:type="dxa"/>
            <w:noWrap/>
            <w:hideMark/>
          </w:tcPr>
          <w:p w14:paraId="08AF15A2" w14:textId="77777777" w:rsidR="001C74A9" w:rsidRPr="00C2456F" w:rsidRDefault="001C74A9" w:rsidP="00964638">
            <w:pPr>
              <w:pStyle w:val="NoSpacing"/>
            </w:pPr>
            <w:r w:rsidRPr="00C2456F">
              <w:t>1</w:t>
            </w:r>
          </w:p>
        </w:tc>
        <w:tc>
          <w:tcPr>
            <w:tcW w:w="3171" w:type="dxa"/>
            <w:noWrap/>
            <w:hideMark/>
          </w:tcPr>
          <w:p w14:paraId="3FDDA5BE" w14:textId="77777777" w:rsidR="001C74A9" w:rsidRPr="00C2456F" w:rsidRDefault="001C74A9" w:rsidP="00964638">
            <w:pPr>
              <w:pStyle w:val="NoSpacing"/>
            </w:pPr>
          </w:p>
        </w:tc>
      </w:tr>
      <w:tr w:rsidR="001C74A9" w:rsidRPr="00C2456F" w14:paraId="7237A5B5" w14:textId="77777777" w:rsidTr="00964638">
        <w:trPr>
          <w:trHeight w:val="300"/>
        </w:trPr>
        <w:tc>
          <w:tcPr>
            <w:tcW w:w="4379" w:type="dxa"/>
            <w:noWrap/>
            <w:hideMark/>
          </w:tcPr>
          <w:p w14:paraId="7E6804A0" w14:textId="77777777" w:rsidR="001C74A9" w:rsidRPr="00C2456F" w:rsidRDefault="001C74A9" w:rsidP="00964638">
            <w:pPr>
              <w:pStyle w:val="NoSpacing"/>
            </w:pPr>
            <w:r w:rsidRPr="00C2456F">
              <w:t>LDLR c.1019_1020delinsTG, p.(Cys340Cys)</w:t>
            </w:r>
          </w:p>
        </w:tc>
        <w:tc>
          <w:tcPr>
            <w:tcW w:w="1466" w:type="dxa"/>
            <w:noWrap/>
            <w:hideMark/>
          </w:tcPr>
          <w:p w14:paraId="7786706C" w14:textId="77777777" w:rsidR="001C74A9" w:rsidRPr="00C2456F" w:rsidRDefault="001C74A9" w:rsidP="00964638">
            <w:pPr>
              <w:pStyle w:val="NoSpacing"/>
            </w:pPr>
            <w:r w:rsidRPr="00C2456F">
              <w:t>1</w:t>
            </w:r>
          </w:p>
        </w:tc>
        <w:tc>
          <w:tcPr>
            <w:tcW w:w="3171" w:type="dxa"/>
            <w:noWrap/>
            <w:hideMark/>
          </w:tcPr>
          <w:p w14:paraId="7B93DAA3" w14:textId="77777777" w:rsidR="001C74A9" w:rsidRPr="00C2456F" w:rsidRDefault="001C74A9" w:rsidP="00964638">
            <w:pPr>
              <w:pStyle w:val="NoSpacing"/>
            </w:pPr>
          </w:p>
        </w:tc>
      </w:tr>
      <w:tr w:rsidR="001C74A9" w:rsidRPr="00C2456F" w14:paraId="0A1AE725" w14:textId="77777777" w:rsidTr="00964638">
        <w:trPr>
          <w:trHeight w:val="300"/>
        </w:trPr>
        <w:tc>
          <w:tcPr>
            <w:tcW w:w="4379" w:type="dxa"/>
            <w:noWrap/>
            <w:hideMark/>
          </w:tcPr>
          <w:p w14:paraId="5BDD12C1" w14:textId="77777777" w:rsidR="001C74A9" w:rsidRPr="00C2456F" w:rsidRDefault="001C74A9" w:rsidP="00964638">
            <w:pPr>
              <w:pStyle w:val="NoSpacing"/>
            </w:pPr>
            <w:r w:rsidRPr="00C2456F">
              <w:t>LDLR c.1060G&gt;A p.(Asp354Asn)</w:t>
            </w:r>
          </w:p>
        </w:tc>
        <w:tc>
          <w:tcPr>
            <w:tcW w:w="1466" w:type="dxa"/>
            <w:noWrap/>
            <w:hideMark/>
          </w:tcPr>
          <w:p w14:paraId="4B2555A6" w14:textId="77777777" w:rsidR="001C74A9" w:rsidRPr="00C2456F" w:rsidRDefault="001C74A9" w:rsidP="00964638">
            <w:pPr>
              <w:pStyle w:val="NoSpacing"/>
            </w:pPr>
            <w:r w:rsidRPr="00C2456F">
              <w:t>1</w:t>
            </w:r>
          </w:p>
        </w:tc>
        <w:tc>
          <w:tcPr>
            <w:tcW w:w="3171" w:type="dxa"/>
            <w:noWrap/>
            <w:hideMark/>
          </w:tcPr>
          <w:p w14:paraId="72538B7B" w14:textId="77777777" w:rsidR="001C74A9" w:rsidRPr="00C2456F" w:rsidRDefault="001C74A9" w:rsidP="00964638">
            <w:pPr>
              <w:pStyle w:val="NoSpacing"/>
            </w:pPr>
          </w:p>
        </w:tc>
      </w:tr>
      <w:tr w:rsidR="001C74A9" w:rsidRPr="00C2456F" w14:paraId="5AA77304" w14:textId="77777777" w:rsidTr="00964638">
        <w:trPr>
          <w:trHeight w:val="300"/>
        </w:trPr>
        <w:tc>
          <w:tcPr>
            <w:tcW w:w="4379" w:type="dxa"/>
            <w:noWrap/>
            <w:hideMark/>
          </w:tcPr>
          <w:p w14:paraId="45223ADA" w14:textId="77777777" w:rsidR="001C74A9" w:rsidRPr="00C2456F" w:rsidRDefault="001C74A9" w:rsidP="00964638">
            <w:pPr>
              <w:pStyle w:val="NoSpacing"/>
            </w:pPr>
            <w:r w:rsidRPr="00C2456F">
              <w:t>LDLR c.1072T&gt;C p.(Cys358Arg)</w:t>
            </w:r>
          </w:p>
        </w:tc>
        <w:tc>
          <w:tcPr>
            <w:tcW w:w="1466" w:type="dxa"/>
            <w:noWrap/>
            <w:hideMark/>
          </w:tcPr>
          <w:p w14:paraId="4D3890D1" w14:textId="77777777" w:rsidR="001C74A9" w:rsidRPr="00C2456F" w:rsidRDefault="001C74A9" w:rsidP="00964638">
            <w:pPr>
              <w:pStyle w:val="NoSpacing"/>
            </w:pPr>
            <w:r w:rsidRPr="00C2456F">
              <w:t>1</w:t>
            </w:r>
          </w:p>
        </w:tc>
        <w:tc>
          <w:tcPr>
            <w:tcW w:w="3171" w:type="dxa"/>
            <w:noWrap/>
            <w:hideMark/>
          </w:tcPr>
          <w:p w14:paraId="0E1870AE" w14:textId="77777777" w:rsidR="001C74A9" w:rsidRPr="00C2456F" w:rsidRDefault="001C74A9" w:rsidP="00964638">
            <w:pPr>
              <w:pStyle w:val="NoSpacing"/>
            </w:pPr>
          </w:p>
        </w:tc>
      </w:tr>
      <w:tr w:rsidR="001C74A9" w:rsidRPr="00C2456F" w14:paraId="6D03CB4D" w14:textId="77777777" w:rsidTr="00964638">
        <w:trPr>
          <w:trHeight w:val="300"/>
        </w:trPr>
        <w:tc>
          <w:tcPr>
            <w:tcW w:w="4379" w:type="dxa"/>
            <w:noWrap/>
            <w:hideMark/>
          </w:tcPr>
          <w:p w14:paraId="64F435F2" w14:textId="77777777" w:rsidR="001C74A9" w:rsidRPr="00C2456F" w:rsidRDefault="001C74A9" w:rsidP="00964638">
            <w:pPr>
              <w:pStyle w:val="NoSpacing"/>
            </w:pPr>
            <w:r w:rsidRPr="00C2456F">
              <w:t>LDLR c.1211C&gt;T p.(Thr404Ile)</w:t>
            </w:r>
          </w:p>
        </w:tc>
        <w:tc>
          <w:tcPr>
            <w:tcW w:w="1466" w:type="dxa"/>
            <w:noWrap/>
            <w:hideMark/>
          </w:tcPr>
          <w:p w14:paraId="07C6686C" w14:textId="77777777" w:rsidR="001C74A9" w:rsidRPr="00C2456F" w:rsidRDefault="001C74A9" w:rsidP="00964638">
            <w:pPr>
              <w:pStyle w:val="NoSpacing"/>
            </w:pPr>
            <w:r w:rsidRPr="00C2456F">
              <w:t>1</w:t>
            </w:r>
          </w:p>
        </w:tc>
        <w:tc>
          <w:tcPr>
            <w:tcW w:w="3171" w:type="dxa"/>
            <w:noWrap/>
            <w:hideMark/>
          </w:tcPr>
          <w:p w14:paraId="61A0B31A" w14:textId="77777777" w:rsidR="001C74A9" w:rsidRPr="00C2456F" w:rsidRDefault="001C74A9" w:rsidP="00964638">
            <w:pPr>
              <w:pStyle w:val="NoSpacing"/>
            </w:pPr>
          </w:p>
        </w:tc>
      </w:tr>
      <w:tr w:rsidR="001C74A9" w:rsidRPr="00C2456F" w14:paraId="152F56E9" w14:textId="77777777" w:rsidTr="00964638">
        <w:trPr>
          <w:trHeight w:val="300"/>
        </w:trPr>
        <w:tc>
          <w:tcPr>
            <w:tcW w:w="4379" w:type="dxa"/>
            <w:noWrap/>
            <w:hideMark/>
          </w:tcPr>
          <w:p w14:paraId="459B4787" w14:textId="77777777" w:rsidR="001C74A9" w:rsidRPr="00C2456F" w:rsidRDefault="001C74A9" w:rsidP="00964638">
            <w:pPr>
              <w:pStyle w:val="NoSpacing"/>
            </w:pPr>
            <w:r w:rsidRPr="00C2456F">
              <w:t>LDLR c.1246C&gt;T p.(Arg416Trp)</w:t>
            </w:r>
          </w:p>
        </w:tc>
        <w:tc>
          <w:tcPr>
            <w:tcW w:w="1466" w:type="dxa"/>
            <w:noWrap/>
            <w:hideMark/>
          </w:tcPr>
          <w:p w14:paraId="7113D7F0" w14:textId="77777777" w:rsidR="001C74A9" w:rsidRPr="00C2456F" w:rsidRDefault="001C74A9" w:rsidP="00964638">
            <w:pPr>
              <w:pStyle w:val="NoSpacing"/>
            </w:pPr>
            <w:r w:rsidRPr="00C2456F">
              <w:t>1</w:t>
            </w:r>
          </w:p>
        </w:tc>
        <w:tc>
          <w:tcPr>
            <w:tcW w:w="3171" w:type="dxa"/>
            <w:noWrap/>
            <w:hideMark/>
          </w:tcPr>
          <w:p w14:paraId="2150007C" w14:textId="77777777" w:rsidR="001C74A9" w:rsidRPr="00C2456F" w:rsidRDefault="001C74A9" w:rsidP="00964638">
            <w:pPr>
              <w:pStyle w:val="NoSpacing"/>
            </w:pPr>
          </w:p>
        </w:tc>
      </w:tr>
      <w:tr w:rsidR="001C74A9" w:rsidRPr="00C2456F" w14:paraId="4E7DF4F1" w14:textId="77777777" w:rsidTr="00964638">
        <w:trPr>
          <w:trHeight w:val="300"/>
        </w:trPr>
        <w:tc>
          <w:tcPr>
            <w:tcW w:w="4379" w:type="dxa"/>
            <w:noWrap/>
            <w:hideMark/>
          </w:tcPr>
          <w:p w14:paraId="5425F585" w14:textId="77777777" w:rsidR="001C74A9" w:rsidRPr="00C2456F" w:rsidRDefault="001C74A9" w:rsidP="00964638">
            <w:pPr>
              <w:pStyle w:val="NoSpacing"/>
            </w:pPr>
            <w:r w:rsidRPr="00C2456F">
              <w:t>LDLR c.1318A&gt;G p.(Arg440Gly)</w:t>
            </w:r>
          </w:p>
        </w:tc>
        <w:tc>
          <w:tcPr>
            <w:tcW w:w="1466" w:type="dxa"/>
            <w:noWrap/>
            <w:hideMark/>
          </w:tcPr>
          <w:p w14:paraId="4F48D717" w14:textId="77777777" w:rsidR="001C74A9" w:rsidRPr="00C2456F" w:rsidRDefault="001C74A9" w:rsidP="00964638">
            <w:pPr>
              <w:pStyle w:val="NoSpacing"/>
            </w:pPr>
            <w:r w:rsidRPr="00C2456F">
              <w:t>2</w:t>
            </w:r>
          </w:p>
        </w:tc>
        <w:tc>
          <w:tcPr>
            <w:tcW w:w="3171" w:type="dxa"/>
            <w:noWrap/>
            <w:hideMark/>
          </w:tcPr>
          <w:p w14:paraId="38707D26" w14:textId="77777777" w:rsidR="001C74A9" w:rsidRPr="00C2456F" w:rsidRDefault="001C74A9" w:rsidP="00964638">
            <w:pPr>
              <w:pStyle w:val="NoSpacing"/>
            </w:pPr>
          </w:p>
        </w:tc>
      </w:tr>
      <w:tr w:rsidR="001C74A9" w:rsidRPr="00C2456F" w14:paraId="5C3AC9E1" w14:textId="77777777" w:rsidTr="00964638">
        <w:trPr>
          <w:trHeight w:val="300"/>
        </w:trPr>
        <w:tc>
          <w:tcPr>
            <w:tcW w:w="4379" w:type="dxa"/>
            <w:noWrap/>
            <w:hideMark/>
          </w:tcPr>
          <w:p w14:paraId="512AAF18" w14:textId="77777777" w:rsidR="001C74A9" w:rsidRPr="00C2456F" w:rsidRDefault="001C74A9" w:rsidP="00964638">
            <w:pPr>
              <w:pStyle w:val="NoSpacing"/>
            </w:pPr>
            <w:r w:rsidRPr="00C2456F">
              <w:t>LDLR c.1371_1374dup p.(Ala459fs)</w:t>
            </w:r>
          </w:p>
        </w:tc>
        <w:tc>
          <w:tcPr>
            <w:tcW w:w="1466" w:type="dxa"/>
            <w:noWrap/>
            <w:hideMark/>
          </w:tcPr>
          <w:p w14:paraId="6D8C1AFC" w14:textId="77777777" w:rsidR="001C74A9" w:rsidRPr="00C2456F" w:rsidRDefault="001C74A9" w:rsidP="00964638">
            <w:pPr>
              <w:pStyle w:val="NoSpacing"/>
            </w:pPr>
            <w:r w:rsidRPr="00C2456F">
              <w:t>1</w:t>
            </w:r>
          </w:p>
        </w:tc>
        <w:tc>
          <w:tcPr>
            <w:tcW w:w="3171" w:type="dxa"/>
            <w:noWrap/>
            <w:hideMark/>
          </w:tcPr>
          <w:p w14:paraId="32F42BA3" w14:textId="77777777" w:rsidR="001C74A9" w:rsidRPr="00C2456F" w:rsidRDefault="001C74A9" w:rsidP="00964638">
            <w:pPr>
              <w:pStyle w:val="NoSpacing"/>
            </w:pPr>
          </w:p>
        </w:tc>
      </w:tr>
      <w:tr w:rsidR="001C74A9" w:rsidRPr="00C2456F" w14:paraId="7B7D6F62" w14:textId="77777777" w:rsidTr="00964638">
        <w:trPr>
          <w:trHeight w:val="300"/>
        </w:trPr>
        <w:tc>
          <w:tcPr>
            <w:tcW w:w="4379" w:type="dxa"/>
            <w:noWrap/>
            <w:hideMark/>
          </w:tcPr>
          <w:p w14:paraId="565FA962" w14:textId="77777777" w:rsidR="001C74A9" w:rsidRPr="00C2456F" w:rsidRDefault="001C74A9" w:rsidP="00964638">
            <w:pPr>
              <w:pStyle w:val="NoSpacing"/>
            </w:pPr>
            <w:r w:rsidRPr="00C2456F">
              <w:t>LDLR c.1478_1479dup p.(Val494fs)</w:t>
            </w:r>
          </w:p>
        </w:tc>
        <w:tc>
          <w:tcPr>
            <w:tcW w:w="1466" w:type="dxa"/>
            <w:noWrap/>
            <w:hideMark/>
          </w:tcPr>
          <w:p w14:paraId="2EF1FCFA" w14:textId="77777777" w:rsidR="001C74A9" w:rsidRPr="00C2456F" w:rsidRDefault="001C74A9" w:rsidP="00964638">
            <w:pPr>
              <w:pStyle w:val="NoSpacing"/>
            </w:pPr>
            <w:r w:rsidRPr="00C2456F">
              <w:t>1</w:t>
            </w:r>
          </w:p>
        </w:tc>
        <w:tc>
          <w:tcPr>
            <w:tcW w:w="3171" w:type="dxa"/>
            <w:noWrap/>
            <w:hideMark/>
          </w:tcPr>
          <w:p w14:paraId="1482DDA3" w14:textId="77777777" w:rsidR="001C74A9" w:rsidRPr="00C2456F" w:rsidRDefault="001C74A9" w:rsidP="00964638">
            <w:pPr>
              <w:pStyle w:val="NoSpacing"/>
            </w:pPr>
          </w:p>
        </w:tc>
      </w:tr>
      <w:tr w:rsidR="001C74A9" w:rsidRPr="00C2456F" w14:paraId="622A932D" w14:textId="77777777" w:rsidTr="00964638">
        <w:trPr>
          <w:trHeight w:val="300"/>
        </w:trPr>
        <w:tc>
          <w:tcPr>
            <w:tcW w:w="4379" w:type="dxa"/>
            <w:noWrap/>
            <w:hideMark/>
          </w:tcPr>
          <w:p w14:paraId="1626F326" w14:textId="77777777" w:rsidR="001C74A9" w:rsidRPr="00C2456F" w:rsidRDefault="001C74A9" w:rsidP="00964638">
            <w:pPr>
              <w:pStyle w:val="NoSpacing"/>
            </w:pPr>
            <w:r w:rsidRPr="00C2456F">
              <w:t>LDLR c.1486C&gt;T p.(Agr496Trp)</w:t>
            </w:r>
          </w:p>
        </w:tc>
        <w:tc>
          <w:tcPr>
            <w:tcW w:w="1466" w:type="dxa"/>
            <w:noWrap/>
            <w:hideMark/>
          </w:tcPr>
          <w:p w14:paraId="6F4AA5AF" w14:textId="77777777" w:rsidR="001C74A9" w:rsidRPr="00C2456F" w:rsidRDefault="001C74A9" w:rsidP="00964638">
            <w:pPr>
              <w:pStyle w:val="NoSpacing"/>
            </w:pPr>
            <w:r w:rsidRPr="00C2456F">
              <w:t>1</w:t>
            </w:r>
          </w:p>
        </w:tc>
        <w:tc>
          <w:tcPr>
            <w:tcW w:w="3171" w:type="dxa"/>
            <w:noWrap/>
            <w:hideMark/>
          </w:tcPr>
          <w:p w14:paraId="1DC32336"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further testing</w:t>
            </w:r>
          </w:p>
        </w:tc>
      </w:tr>
      <w:tr w:rsidR="001C74A9" w:rsidRPr="00C2456F" w14:paraId="559FFC6C" w14:textId="77777777" w:rsidTr="00964638">
        <w:trPr>
          <w:trHeight w:val="300"/>
        </w:trPr>
        <w:tc>
          <w:tcPr>
            <w:tcW w:w="4379" w:type="dxa"/>
            <w:noWrap/>
            <w:hideMark/>
          </w:tcPr>
          <w:p w14:paraId="165D06E8" w14:textId="77777777" w:rsidR="001C74A9" w:rsidRPr="00C2456F" w:rsidRDefault="001C74A9" w:rsidP="00964638">
            <w:pPr>
              <w:pStyle w:val="NoSpacing"/>
            </w:pPr>
            <w:r w:rsidRPr="00C2456F">
              <w:t>LDLR c.1567G&gt;A p.(Val523Met)</w:t>
            </w:r>
          </w:p>
        </w:tc>
        <w:tc>
          <w:tcPr>
            <w:tcW w:w="1466" w:type="dxa"/>
            <w:noWrap/>
            <w:hideMark/>
          </w:tcPr>
          <w:p w14:paraId="09DEB8CB" w14:textId="77777777" w:rsidR="001C74A9" w:rsidRPr="00C2456F" w:rsidRDefault="001C74A9" w:rsidP="00964638">
            <w:pPr>
              <w:pStyle w:val="NoSpacing"/>
            </w:pPr>
            <w:r w:rsidRPr="00C2456F">
              <w:t>1</w:t>
            </w:r>
          </w:p>
        </w:tc>
        <w:tc>
          <w:tcPr>
            <w:tcW w:w="3171" w:type="dxa"/>
            <w:noWrap/>
            <w:hideMark/>
          </w:tcPr>
          <w:p w14:paraId="4063F44D"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w:t>
            </w:r>
            <w:r>
              <w:lastRenderedPageBreak/>
              <w:t>further testing</w:t>
            </w:r>
          </w:p>
        </w:tc>
      </w:tr>
      <w:tr w:rsidR="001C74A9" w:rsidRPr="00C2456F" w14:paraId="5DA25F4B" w14:textId="77777777" w:rsidTr="00964638">
        <w:trPr>
          <w:trHeight w:val="300"/>
        </w:trPr>
        <w:tc>
          <w:tcPr>
            <w:tcW w:w="4379" w:type="dxa"/>
            <w:noWrap/>
            <w:hideMark/>
          </w:tcPr>
          <w:p w14:paraId="75A39BE4" w14:textId="77777777" w:rsidR="001C74A9" w:rsidRPr="00C2456F" w:rsidRDefault="001C74A9" w:rsidP="00964638">
            <w:pPr>
              <w:pStyle w:val="NoSpacing"/>
            </w:pPr>
            <w:r w:rsidRPr="00C2456F">
              <w:lastRenderedPageBreak/>
              <w:t>LDLR c.1618G&gt;A p.(Ala540Thr)</w:t>
            </w:r>
          </w:p>
        </w:tc>
        <w:tc>
          <w:tcPr>
            <w:tcW w:w="1466" w:type="dxa"/>
            <w:noWrap/>
            <w:hideMark/>
          </w:tcPr>
          <w:p w14:paraId="20A05FCF" w14:textId="77777777" w:rsidR="001C74A9" w:rsidRPr="00C2456F" w:rsidRDefault="001C74A9" w:rsidP="00964638">
            <w:pPr>
              <w:pStyle w:val="NoSpacing"/>
            </w:pPr>
            <w:r w:rsidRPr="00C2456F">
              <w:t>1</w:t>
            </w:r>
          </w:p>
        </w:tc>
        <w:tc>
          <w:tcPr>
            <w:tcW w:w="3171" w:type="dxa"/>
            <w:noWrap/>
            <w:hideMark/>
          </w:tcPr>
          <w:p w14:paraId="438843EB" w14:textId="77777777" w:rsidR="001C74A9" w:rsidRPr="00C2456F" w:rsidRDefault="001C74A9" w:rsidP="00964638">
            <w:pPr>
              <w:pStyle w:val="NoSpacing"/>
            </w:pPr>
          </w:p>
        </w:tc>
      </w:tr>
      <w:tr w:rsidR="001C74A9" w:rsidRPr="00C2456F" w14:paraId="06D4FFE1" w14:textId="77777777" w:rsidTr="00964638">
        <w:trPr>
          <w:trHeight w:val="300"/>
        </w:trPr>
        <w:tc>
          <w:tcPr>
            <w:tcW w:w="4379" w:type="dxa"/>
            <w:noWrap/>
            <w:hideMark/>
          </w:tcPr>
          <w:p w14:paraId="392EA0AE" w14:textId="77777777" w:rsidR="001C74A9" w:rsidRPr="00C2456F" w:rsidRDefault="001C74A9" w:rsidP="00964638">
            <w:pPr>
              <w:pStyle w:val="NoSpacing"/>
            </w:pPr>
            <w:r w:rsidRPr="00C2456F">
              <w:t>LDLR c.1684_1686dup p.(Trp562dup)</w:t>
            </w:r>
          </w:p>
        </w:tc>
        <w:tc>
          <w:tcPr>
            <w:tcW w:w="1466" w:type="dxa"/>
            <w:noWrap/>
            <w:hideMark/>
          </w:tcPr>
          <w:p w14:paraId="4CD70448" w14:textId="77777777" w:rsidR="001C74A9" w:rsidRPr="00C2456F" w:rsidRDefault="001C74A9" w:rsidP="00964638">
            <w:pPr>
              <w:pStyle w:val="NoSpacing"/>
            </w:pPr>
            <w:r w:rsidRPr="00C2456F">
              <w:t>1</w:t>
            </w:r>
          </w:p>
        </w:tc>
        <w:tc>
          <w:tcPr>
            <w:tcW w:w="3171" w:type="dxa"/>
            <w:noWrap/>
            <w:hideMark/>
          </w:tcPr>
          <w:p w14:paraId="6FCC2C86" w14:textId="77777777" w:rsidR="001C74A9" w:rsidRPr="00C2456F" w:rsidRDefault="001C74A9" w:rsidP="00964638">
            <w:pPr>
              <w:pStyle w:val="NoSpacing"/>
            </w:pPr>
          </w:p>
        </w:tc>
      </w:tr>
      <w:tr w:rsidR="001C74A9" w:rsidRPr="00C2456F" w14:paraId="4AB30C71" w14:textId="77777777" w:rsidTr="00964638">
        <w:trPr>
          <w:trHeight w:val="300"/>
        </w:trPr>
        <w:tc>
          <w:tcPr>
            <w:tcW w:w="4379" w:type="dxa"/>
            <w:noWrap/>
            <w:hideMark/>
          </w:tcPr>
          <w:p w14:paraId="3468FD22" w14:textId="77777777" w:rsidR="001C74A9" w:rsidRPr="00C2456F" w:rsidRDefault="001C74A9" w:rsidP="00964638">
            <w:pPr>
              <w:pStyle w:val="NoSpacing"/>
            </w:pPr>
            <w:r w:rsidRPr="00C2456F">
              <w:t>LDLR c.1730G&gt;A p.(Trp577*)</w:t>
            </w:r>
          </w:p>
        </w:tc>
        <w:tc>
          <w:tcPr>
            <w:tcW w:w="1466" w:type="dxa"/>
            <w:noWrap/>
            <w:hideMark/>
          </w:tcPr>
          <w:p w14:paraId="3AC3C324" w14:textId="77777777" w:rsidR="001C74A9" w:rsidRPr="00C2456F" w:rsidRDefault="001C74A9" w:rsidP="00964638">
            <w:pPr>
              <w:pStyle w:val="NoSpacing"/>
            </w:pPr>
            <w:r w:rsidRPr="00C2456F">
              <w:t>1</w:t>
            </w:r>
          </w:p>
        </w:tc>
        <w:tc>
          <w:tcPr>
            <w:tcW w:w="3171" w:type="dxa"/>
            <w:noWrap/>
            <w:hideMark/>
          </w:tcPr>
          <w:p w14:paraId="032201FE" w14:textId="77777777" w:rsidR="001C74A9" w:rsidRPr="00C2456F" w:rsidRDefault="001C74A9" w:rsidP="00964638">
            <w:pPr>
              <w:pStyle w:val="NoSpacing"/>
            </w:pPr>
          </w:p>
        </w:tc>
      </w:tr>
      <w:tr w:rsidR="001C74A9" w:rsidRPr="00C2456F" w14:paraId="60EC4AE2" w14:textId="77777777" w:rsidTr="00964638">
        <w:trPr>
          <w:trHeight w:val="300"/>
        </w:trPr>
        <w:tc>
          <w:tcPr>
            <w:tcW w:w="4379" w:type="dxa"/>
            <w:noWrap/>
            <w:hideMark/>
          </w:tcPr>
          <w:p w14:paraId="51F13A79" w14:textId="77777777" w:rsidR="001C74A9" w:rsidRPr="00C2456F" w:rsidRDefault="001C74A9" w:rsidP="00964638">
            <w:pPr>
              <w:pStyle w:val="NoSpacing"/>
            </w:pPr>
            <w:r w:rsidRPr="00C2456F">
              <w:t>LDLR c.1764C&gt;G p.(Ile588Met)</w:t>
            </w:r>
          </w:p>
        </w:tc>
        <w:tc>
          <w:tcPr>
            <w:tcW w:w="1466" w:type="dxa"/>
            <w:noWrap/>
            <w:hideMark/>
          </w:tcPr>
          <w:p w14:paraId="2E5D0242" w14:textId="77777777" w:rsidR="001C74A9" w:rsidRPr="00C2456F" w:rsidRDefault="001C74A9" w:rsidP="00964638">
            <w:pPr>
              <w:pStyle w:val="NoSpacing"/>
            </w:pPr>
            <w:r w:rsidRPr="00C2456F">
              <w:t>1</w:t>
            </w:r>
          </w:p>
        </w:tc>
        <w:tc>
          <w:tcPr>
            <w:tcW w:w="3171" w:type="dxa"/>
            <w:noWrap/>
            <w:hideMark/>
          </w:tcPr>
          <w:p w14:paraId="412C70B3" w14:textId="77777777" w:rsidR="001C74A9" w:rsidRPr="00C2456F" w:rsidRDefault="001C74A9" w:rsidP="00964638">
            <w:pPr>
              <w:pStyle w:val="NoSpacing"/>
            </w:pPr>
          </w:p>
        </w:tc>
      </w:tr>
      <w:tr w:rsidR="001C74A9" w:rsidRPr="00C2456F" w14:paraId="7E9F8961" w14:textId="77777777" w:rsidTr="00964638">
        <w:trPr>
          <w:trHeight w:val="300"/>
        </w:trPr>
        <w:tc>
          <w:tcPr>
            <w:tcW w:w="4379" w:type="dxa"/>
            <w:noWrap/>
            <w:hideMark/>
          </w:tcPr>
          <w:p w14:paraId="6401A15B" w14:textId="77777777" w:rsidR="001C74A9" w:rsidRPr="00C2456F" w:rsidRDefault="001C74A9" w:rsidP="00964638">
            <w:pPr>
              <w:pStyle w:val="NoSpacing"/>
            </w:pPr>
            <w:r w:rsidRPr="00C2456F">
              <w:t>LDLR c.1816G&gt;T p.(</w:t>
            </w:r>
            <w:proofErr w:type="spellStart"/>
            <w:r w:rsidRPr="00C2456F">
              <w:t>Ala</w:t>
            </w:r>
            <w:proofErr w:type="spellEnd"/>
            <w:r w:rsidRPr="00C2456F">
              <w:t xml:space="preserve"> 606Ser)</w:t>
            </w:r>
          </w:p>
        </w:tc>
        <w:tc>
          <w:tcPr>
            <w:tcW w:w="1466" w:type="dxa"/>
            <w:noWrap/>
            <w:hideMark/>
          </w:tcPr>
          <w:p w14:paraId="2D98176C" w14:textId="77777777" w:rsidR="001C74A9" w:rsidRPr="00C2456F" w:rsidRDefault="001C74A9" w:rsidP="00964638">
            <w:pPr>
              <w:pStyle w:val="NoSpacing"/>
            </w:pPr>
            <w:r w:rsidRPr="00C2456F">
              <w:t>1</w:t>
            </w:r>
          </w:p>
        </w:tc>
        <w:tc>
          <w:tcPr>
            <w:tcW w:w="3171" w:type="dxa"/>
            <w:noWrap/>
            <w:hideMark/>
          </w:tcPr>
          <w:p w14:paraId="3EC74B46" w14:textId="77777777" w:rsidR="001C74A9" w:rsidRPr="00C2456F" w:rsidRDefault="001C74A9" w:rsidP="00964638">
            <w:pPr>
              <w:pStyle w:val="NoSpacing"/>
            </w:pPr>
          </w:p>
        </w:tc>
      </w:tr>
      <w:tr w:rsidR="001C74A9" w:rsidRPr="00C2456F" w14:paraId="01AFE07F" w14:textId="77777777" w:rsidTr="00964638">
        <w:trPr>
          <w:trHeight w:val="300"/>
        </w:trPr>
        <w:tc>
          <w:tcPr>
            <w:tcW w:w="4379" w:type="dxa"/>
            <w:noWrap/>
            <w:hideMark/>
          </w:tcPr>
          <w:p w14:paraId="49663CFB" w14:textId="77777777" w:rsidR="001C74A9" w:rsidRPr="00C2456F" w:rsidRDefault="001C74A9" w:rsidP="00964638">
            <w:pPr>
              <w:pStyle w:val="NoSpacing"/>
            </w:pPr>
            <w:r w:rsidRPr="00C2456F">
              <w:t>LDLR c.1876G&gt;A p.(Glu626Lys)</w:t>
            </w:r>
          </w:p>
        </w:tc>
        <w:tc>
          <w:tcPr>
            <w:tcW w:w="1466" w:type="dxa"/>
            <w:noWrap/>
            <w:hideMark/>
          </w:tcPr>
          <w:p w14:paraId="723E5501" w14:textId="77777777" w:rsidR="001C74A9" w:rsidRPr="00C2456F" w:rsidRDefault="001C74A9" w:rsidP="00964638">
            <w:pPr>
              <w:pStyle w:val="NoSpacing"/>
            </w:pPr>
            <w:r w:rsidRPr="00C2456F">
              <w:t>1</w:t>
            </w:r>
          </w:p>
        </w:tc>
        <w:tc>
          <w:tcPr>
            <w:tcW w:w="3171" w:type="dxa"/>
            <w:noWrap/>
            <w:hideMark/>
          </w:tcPr>
          <w:p w14:paraId="5C4FEFD0" w14:textId="77777777" w:rsidR="001C74A9" w:rsidRPr="00C2456F" w:rsidRDefault="001C74A9" w:rsidP="00964638">
            <w:pPr>
              <w:pStyle w:val="NoSpacing"/>
            </w:pPr>
          </w:p>
        </w:tc>
      </w:tr>
      <w:tr w:rsidR="001C74A9" w:rsidRPr="00C2456F" w14:paraId="78A2C002" w14:textId="77777777" w:rsidTr="00964638">
        <w:trPr>
          <w:trHeight w:val="300"/>
        </w:trPr>
        <w:tc>
          <w:tcPr>
            <w:tcW w:w="4379" w:type="dxa"/>
            <w:noWrap/>
            <w:hideMark/>
          </w:tcPr>
          <w:p w14:paraId="53442B1F" w14:textId="77777777" w:rsidR="001C74A9" w:rsidRPr="00C2456F" w:rsidRDefault="001C74A9" w:rsidP="00964638">
            <w:pPr>
              <w:pStyle w:val="NoSpacing"/>
            </w:pPr>
            <w:r w:rsidRPr="00C2456F">
              <w:t>LDLR c.1943C&gt;T p.(Ser658Phe)</w:t>
            </w:r>
          </w:p>
        </w:tc>
        <w:tc>
          <w:tcPr>
            <w:tcW w:w="1466" w:type="dxa"/>
            <w:noWrap/>
            <w:hideMark/>
          </w:tcPr>
          <w:p w14:paraId="79372CF0" w14:textId="77777777" w:rsidR="001C74A9" w:rsidRPr="00C2456F" w:rsidRDefault="001C74A9" w:rsidP="00964638">
            <w:pPr>
              <w:pStyle w:val="NoSpacing"/>
            </w:pPr>
            <w:r w:rsidRPr="00C2456F">
              <w:t>1</w:t>
            </w:r>
          </w:p>
        </w:tc>
        <w:tc>
          <w:tcPr>
            <w:tcW w:w="3171" w:type="dxa"/>
            <w:noWrap/>
            <w:hideMark/>
          </w:tcPr>
          <w:p w14:paraId="54C3DA83" w14:textId="77777777" w:rsidR="001C74A9" w:rsidRPr="00C2456F" w:rsidRDefault="001C74A9" w:rsidP="00964638">
            <w:pPr>
              <w:pStyle w:val="NoSpacing"/>
            </w:pPr>
          </w:p>
        </w:tc>
      </w:tr>
      <w:tr w:rsidR="001C74A9" w:rsidRPr="00C2456F" w14:paraId="0E089ECC" w14:textId="77777777" w:rsidTr="00964638">
        <w:trPr>
          <w:trHeight w:val="300"/>
        </w:trPr>
        <w:tc>
          <w:tcPr>
            <w:tcW w:w="4379" w:type="dxa"/>
            <w:noWrap/>
            <w:hideMark/>
          </w:tcPr>
          <w:p w14:paraId="16AD0690" w14:textId="77777777" w:rsidR="001C74A9" w:rsidRPr="00C2456F" w:rsidRDefault="001C74A9" w:rsidP="00964638">
            <w:pPr>
              <w:pStyle w:val="NoSpacing"/>
            </w:pPr>
            <w:r w:rsidRPr="00C2456F">
              <w:t>LDLR c.2043C&gt;A p.(Cys681*)</w:t>
            </w:r>
          </w:p>
        </w:tc>
        <w:tc>
          <w:tcPr>
            <w:tcW w:w="1466" w:type="dxa"/>
            <w:noWrap/>
            <w:hideMark/>
          </w:tcPr>
          <w:p w14:paraId="06E18347" w14:textId="77777777" w:rsidR="001C74A9" w:rsidRPr="00C2456F" w:rsidRDefault="001C74A9" w:rsidP="00964638">
            <w:pPr>
              <w:pStyle w:val="NoSpacing"/>
            </w:pPr>
            <w:r w:rsidRPr="00C2456F">
              <w:t>2</w:t>
            </w:r>
          </w:p>
        </w:tc>
        <w:tc>
          <w:tcPr>
            <w:tcW w:w="3171" w:type="dxa"/>
            <w:noWrap/>
            <w:hideMark/>
          </w:tcPr>
          <w:p w14:paraId="147600C7" w14:textId="77777777" w:rsidR="001C74A9" w:rsidRPr="00C2456F" w:rsidRDefault="001C74A9" w:rsidP="00964638">
            <w:pPr>
              <w:pStyle w:val="NoSpacing"/>
            </w:pPr>
          </w:p>
        </w:tc>
      </w:tr>
      <w:tr w:rsidR="001C74A9" w:rsidRPr="00C2456F" w14:paraId="3C17A4A5" w14:textId="77777777" w:rsidTr="00964638">
        <w:trPr>
          <w:trHeight w:val="300"/>
        </w:trPr>
        <w:tc>
          <w:tcPr>
            <w:tcW w:w="4379" w:type="dxa"/>
            <w:noWrap/>
            <w:hideMark/>
          </w:tcPr>
          <w:p w14:paraId="7BC0BD0A" w14:textId="77777777" w:rsidR="001C74A9" w:rsidRPr="00C2456F" w:rsidRDefault="001C74A9" w:rsidP="00964638">
            <w:pPr>
              <w:pStyle w:val="NoSpacing"/>
            </w:pPr>
            <w:r w:rsidRPr="00C2456F">
              <w:t>LDLR c.2088C&gt;A p.(Cys696*) &amp; PCSK9 c.-331C&gt;A</w:t>
            </w:r>
          </w:p>
        </w:tc>
        <w:tc>
          <w:tcPr>
            <w:tcW w:w="1466" w:type="dxa"/>
            <w:noWrap/>
            <w:hideMark/>
          </w:tcPr>
          <w:p w14:paraId="2C212D08" w14:textId="77777777" w:rsidR="001C74A9" w:rsidRPr="00C2456F" w:rsidRDefault="001C74A9" w:rsidP="00964638">
            <w:pPr>
              <w:pStyle w:val="NoSpacing"/>
            </w:pPr>
            <w:r w:rsidRPr="00C2456F">
              <w:t>1</w:t>
            </w:r>
          </w:p>
        </w:tc>
        <w:tc>
          <w:tcPr>
            <w:tcW w:w="3171" w:type="dxa"/>
            <w:noWrap/>
            <w:hideMark/>
          </w:tcPr>
          <w:p w14:paraId="0FC96440" w14:textId="77777777" w:rsidR="001C74A9" w:rsidRPr="00C2456F" w:rsidRDefault="001C74A9" w:rsidP="00964638">
            <w:pPr>
              <w:pStyle w:val="NoSpacing"/>
            </w:pPr>
          </w:p>
        </w:tc>
      </w:tr>
      <w:tr w:rsidR="001C74A9" w:rsidRPr="00C2456F" w14:paraId="605C30B3" w14:textId="77777777" w:rsidTr="00964638">
        <w:trPr>
          <w:trHeight w:val="300"/>
        </w:trPr>
        <w:tc>
          <w:tcPr>
            <w:tcW w:w="4379" w:type="dxa"/>
            <w:noWrap/>
            <w:hideMark/>
          </w:tcPr>
          <w:p w14:paraId="72142D06" w14:textId="77777777" w:rsidR="001C74A9" w:rsidRPr="00C2456F" w:rsidRDefault="001C74A9" w:rsidP="00964638">
            <w:pPr>
              <w:pStyle w:val="NoSpacing"/>
            </w:pPr>
            <w:r w:rsidRPr="00C2456F">
              <w:t>LDLR c.2140+1G&gt;A</w:t>
            </w:r>
          </w:p>
        </w:tc>
        <w:tc>
          <w:tcPr>
            <w:tcW w:w="1466" w:type="dxa"/>
            <w:noWrap/>
            <w:hideMark/>
          </w:tcPr>
          <w:p w14:paraId="0B102C47" w14:textId="77777777" w:rsidR="001C74A9" w:rsidRPr="00C2456F" w:rsidRDefault="001C74A9" w:rsidP="00964638">
            <w:pPr>
              <w:pStyle w:val="NoSpacing"/>
            </w:pPr>
            <w:r w:rsidRPr="00C2456F">
              <w:t>1</w:t>
            </w:r>
          </w:p>
        </w:tc>
        <w:tc>
          <w:tcPr>
            <w:tcW w:w="3171" w:type="dxa"/>
            <w:noWrap/>
            <w:hideMark/>
          </w:tcPr>
          <w:p w14:paraId="067F6541" w14:textId="77777777" w:rsidR="001C74A9" w:rsidRPr="00C2456F" w:rsidRDefault="001C74A9" w:rsidP="00964638">
            <w:pPr>
              <w:pStyle w:val="NoSpacing"/>
            </w:pPr>
          </w:p>
        </w:tc>
      </w:tr>
      <w:tr w:rsidR="001C74A9" w:rsidRPr="00C2456F" w14:paraId="6027716D" w14:textId="77777777" w:rsidTr="00964638">
        <w:trPr>
          <w:trHeight w:val="300"/>
        </w:trPr>
        <w:tc>
          <w:tcPr>
            <w:tcW w:w="4379" w:type="dxa"/>
            <w:noWrap/>
            <w:hideMark/>
          </w:tcPr>
          <w:p w14:paraId="4BC524CF" w14:textId="77777777" w:rsidR="001C74A9" w:rsidRPr="00C2456F" w:rsidRDefault="001C74A9" w:rsidP="00964638">
            <w:pPr>
              <w:pStyle w:val="NoSpacing"/>
            </w:pPr>
            <w:r w:rsidRPr="00C2456F">
              <w:t>LDLR c.2389G&gt;A p.(Val797Met)</w:t>
            </w:r>
          </w:p>
        </w:tc>
        <w:tc>
          <w:tcPr>
            <w:tcW w:w="1466" w:type="dxa"/>
            <w:noWrap/>
            <w:hideMark/>
          </w:tcPr>
          <w:p w14:paraId="6521F49C" w14:textId="77777777" w:rsidR="001C74A9" w:rsidRPr="00C2456F" w:rsidRDefault="001C74A9" w:rsidP="00964638">
            <w:pPr>
              <w:pStyle w:val="NoSpacing"/>
            </w:pPr>
            <w:r w:rsidRPr="00C2456F">
              <w:t>1</w:t>
            </w:r>
          </w:p>
        </w:tc>
        <w:tc>
          <w:tcPr>
            <w:tcW w:w="3171" w:type="dxa"/>
            <w:noWrap/>
            <w:hideMark/>
          </w:tcPr>
          <w:p w14:paraId="62B1F596" w14:textId="77777777" w:rsidR="001C74A9" w:rsidRPr="00C2456F" w:rsidRDefault="001C74A9" w:rsidP="00964638">
            <w:pPr>
              <w:pStyle w:val="NoSpacing"/>
            </w:pPr>
          </w:p>
        </w:tc>
      </w:tr>
      <w:tr w:rsidR="001C74A9" w:rsidRPr="00C2456F" w14:paraId="7681A776" w14:textId="77777777" w:rsidTr="00964638">
        <w:trPr>
          <w:trHeight w:val="300"/>
        </w:trPr>
        <w:tc>
          <w:tcPr>
            <w:tcW w:w="4379" w:type="dxa"/>
            <w:noWrap/>
            <w:hideMark/>
          </w:tcPr>
          <w:p w14:paraId="64375F0D" w14:textId="77777777" w:rsidR="001C74A9" w:rsidRPr="00C2456F" w:rsidRDefault="001C74A9" w:rsidP="00964638">
            <w:pPr>
              <w:pStyle w:val="NoSpacing"/>
            </w:pPr>
            <w:r w:rsidRPr="00C2456F">
              <w:t>LDLR c.2412G&gt;A p.(Leu804Leu)</w:t>
            </w:r>
          </w:p>
        </w:tc>
        <w:tc>
          <w:tcPr>
            <w:tcW w:w="1466" w:type="dxa"/>
            <w:noWrap/>
            <w:hideMark/>
          </w:tcPr>
          <w:p w14:paraId="3B466A9D" w14:textId="77777777" w:rsidR="001C74A9" w:rsidRPr="00C2456F" w:rsidRDefault="001C74A9" w:rsidP="00964638">
            <w:pPr>
              <w:pStyle w:val="NoSpacing"/>
            </w:pPr>
            <w:r w:rsidRPr="00C2456F">
              <w:t>1</w:t>
            </w:r>
          </w:p>
        </w:tc>
        <w:tc>
          <w:tcPr>
            <w:tcW w:w="3171" w:type="dxa"/>
            <w:noWrap/>
            <w:hideMark/>
          </w:tcPr>
          <w:p w14:paraId="1774CA4D" w14:textId="77777777" w:rsidR="001C74A9" w:rsidRPr="00C2456F" w:rsidRDefault="001C74A9" w:rsidP="00964638">
            <w:pPr>
              <w:pStyle w:val="NoSpacing"/>
            </w:pPr>
          </w:p>
        </w:tc>
      </w:tr>
      <w:tr w:rsidR="001C74A9" w:rsidRPr="00C2456F" w14:paraId="2AAF2EF6" w14:textId="77777777" w:rsidTr="00964638">
        <w:trPr>
          <w:trHeight w:val="300"/>
        </w:trPr>
        <w:tc>
          <w:tcPr>
            <w:tcW w:w="4379" w:type="dxa"/>
            <w:noWrap/>
            <w:hideMark/>
          </w:tcPr>
          <w:p w14:paraId="6702629C" w14:textId="77777777" w:rsidR="001C74A9" w:rsidRPr="00C2456F" w:rsidRDefault="001C74A9" w:rsidP="00964638">
            <w:pPr>
              <w:pStyle w:val="NoSpacing"/>
            </w:pPr>
            <w:r w:rsidRPr="00C2456F">
              <w:t>LDLR c.257delT p.(Phe86fs)</w:t>
            </w:r>
          </w:p>
        </w:tc>
        <w:tc>
          <w:tcPr>
            <w:tcW w:w="1466" w:type="dxa"/>
            <w:noWrap/>
            <w:hideMark/>
          </w:tcPr>
          <w:p w14:paraId="618DE78A" w14:textId="77777777" w:rsidR="001C74A9" w:rsidRPr="00C2456F" w:rsidRDefault="001C74A9" w:rsidP="00964638">
            <w:pPr>
              <w:pStyle w:val="NoSpacing"/>
            </w:pPr>
            <w:r w:rsidRPr="00C2456F">
              <w:t>1</w:t>
            </w:r>
          </w:p>
        </w:tc>
        <w:tc>
          <w:tcPr>
            <w:tcW w:w="3171" w:type="dxa"/>
            <w:noWrap/>
            <w:hideMark/>
          </w:tcPr>
          <w:p w14:paraId="1BF8966A" w14:textId="77777777" w:rsidR="001C74A9" w:rsidRPr="00C2456F" w:rsidRDefault="001C74A9" w:rsidP="00964638">
            <w:pPr>
              <w:pStyle w:val="NoSpacing"/>
            </w:pPr>
          </w:p>
        </w:tc>
      </w:tr>
      <w:tr w:rsidR="001C74A9" w:rsidRPr="00C2456F" w14:paraId="59FCE046" w14:textId="77777777" w:rsidTr="00964638">
        <w:trPr>
          <w:trHeight w:val="300"/>
        </w:trPr>
        <w:tc>
          <w:tcPr>
            <w:tcW w:w="4379" w:type="dxa"/>
            <w:noWrap/>
            <w:hideMark/>
          </w:tcPr>
          <w:p w14:paraId="1DA94DAA" w14:textId="77777777" w:rsidR="001C74A9" w:rsidRPr="00C2456F" w:rsidRDefault="001C74A9" w:rsidP="00964638">
            <w:pPr>
              <w:pStyle w:val="NoSpacing"/>
            </w:pPr>
            <w:r w:rsidRPr="00C2456F">
              <w:t>LDLR c.302A&gt;G p.(Glu101Gly)</w:t>
            </w:r>
          </w:p>
        </w:tc>
        <w:tc>
          <w:tcPr>
            <w:tcW w:w="1466" w:type="dxa"/>
            <w:noWrap/>
            <w:hideMark/>
          </w:tcPr>
          <w:p w14:paraId="03153260" w14:textId="77777777" w:rsidR="001C74A9" w:rsidRPr="00C2456F" w:rsidRDefault="001C74A9" w:rsidP="00964638">
            <w:pPr>
              <w:pStyle w:val="NoSpacing"/>
            </w:pPr>
            <w:r w:rsidRPr="00C2456F">
              <w:t>1</w:t>
            </w:r>
          </w:p>
        </w:tc>
        <w:tc>
          <w:tcPr>
            <w:tcW w:w="3171" w:type="dxa"/>
            <w:noWrap/>
            <w:hideMark/>
          </w:tcPr>
          <w:p w14:paraId="5F3A4884" w14:textId="77777777" w:rsidR="001C74A9" w:rsidRPr="00C2456F" w:rsidRDefault="001C74A9" w:rsidP="00964638">
            <w:pPr>
              <w:pStyle w:val="NoSpacing"/>
            </w:pPr>
          </w:p>
        </w:tc>
      </w:tr>
      <w:tr w:rsidR="001C74A9" w:rsidRPr="00C2456F" w14:paraId="2CC64B61" w14:textId="77777777" w:rsidTr="00964638">
        <w:trPr>
          <w:trHeight w:val="300"/>
        </w:trPr>
        <w:tc>
          <w:tcPr>
            <w:tcW w:w="4379" w:type="dxa"/>
            <w:noWrap/>
            <w:hideMark/>
          </w:tcPr>
          <w:p w14:paraId="5534B29F" w14:textId="77777777" w:rsidR="001C74A9" w:rsidRPr="00C2456F" w:rsidRDefault="001C74A9" w:rsidP="00964638">
            <w:pPr>
              <w:pStyle w:val="NoSpacing"/>
            </w:pPr>
            <w:r w:rsidRPr="00C2456F">
              <w:t>LDLR c.326G&gt;A p.(Cys109Tyr)</w:t>
            </w:r>
          </w:p>
        </w:tc>
        <w:tc>
          <w:tcPr>
            <w:tcW w:w="1466" w:type="dxa"/>
            <w:noWrap/>
            <w:hideMark/>
          </w:tcPr>
          <w:p w14:paraId="61B56BC1" w14:textId="77777777" w:rsidR="001C74A9" w:rsidRPr="00C2456F" w:rsidRDefault="001C74A9" w:rsidP="00964638">
            <w:pPr>
              <w:pStyle w:val="NoSpacing"/>
            </w:pPr>
            <w:r w:rsidRPr="00C2456F">
              <w:t>1</w:t>
            </w:r>
          </w:p>
        </w:tc>
        <w:tc>
          <w:tcPr>
            <w:tcW w:w="3171" w:type="dxa"/>
            <w:noWrap/>
            <w:hideMark/>
          </w:tcPr>
          <w:p w14:paraId="07F3BDD5" w14:textId="77777777" w:rsidR="001C74A9" w:rsidRPr="00C2456F" w:rsidRDefault="001C74A9" w:rsidP="00964638">
            <w:pPr>
              <w:pStyle w:val="NoSpacing"/>
            </w:pPr>
            <w:r w:rsidRPr="00C2456F">
              <w:t xml:space="preserve">Found on both </w:t>
            </w:r>
            <w:proofErr w:type="spellStart"/>
            <w:r w:rsidRPr="00C2456F">
              <w:t>Seq</w:t>
            </w:r>
            <w:proofErr w:type="spellEnd"/>
            <w:r w:rsidRPr="00C2456F">
              <w:t xml:space="preserve"> and </w:t>
            </w:r>
            <w:proofErr w:type="spellStart"/>
            <w:r w:rsidRPr="00C2456F">
              <w:t>MiSeq</w:t>
            </w:r>
            <w:proofErr w:type="spellEnd"/>
          </w:p>
        </w:tc>
      </w:tr>
      <w:tr w:rsidR="001C74A9" w:rsidRPr="00C2456F" w14:paraId="1D859FD7" w14:textId="77777777" w:rsidTr="00964638">
        <w:trPr>
          <w:trHeight w:val="300"/>
        </w:trPr>
        <w:tc>
          <w:tcPr>
            <w:tcW w:w="4379" w:type="dxa"/>
            <w:noWrap/>
            <w:hideMark/>
          </w:tcPr>
          <w:p w14:paraId="4E468827" w14:textId="77777777" w:rsidR="001C74A9" w:rsidRPr="00C2456F" w:rsidRDefault="001C74A9" w:rsidP="00964638">
            <w:pPr>
              <w:pStyle w:val="NoSpacing"/>
            </w:pPr>
            <w:r w:rsidRPr="00C2456F">
              <w:t>LDLR c.501C&gt;A p.(Cys167*)</w:t>
            </w:r>
          </w:p>
        </w:tc>
        <w:tc>
          <w:tcPr>
            <w:tcW w:w="1466" w:type="dxa"/>
            <w:noWrap/>
            <w:hideMark/>
          </w:tcPr>
          <w:p w14:paraId="02E217B0" w14:textId="77777777" w:rsidR="001C74A9" w:rsidRPr="00C2456F" w:rsidRDefault="001C74A9" w:rsidP="00964638">
            <w:pPr>
              <w:pStyle w:val="NoSpacing"/>
            </w:pPr>
            <w:r w:rsidRPr="00C2456F">
              <w:t>2</w:t>
            </w:r>
          </w:p>
        </w:tc>
        <w:tc>
          <w:tcPr>
            <w:tcW w:w="3171" w:type="dxa"/>
            <w:noWrap/>
            <w:hideMark/>
          </w:tcPr>
          <w:p w14:paraId="36B37469" w14:textId="77777777" w:rsidR="001C74A9" w:rsidRPr="00C2456F" w:rsidRDefault="001C74A9" w:rsidP="00964638">
            <w:pPr>
              <w:pStyle w:val="NoSpacing"/>
            </w:pPr>
          </w:p>
        </w:tc>
      </w:tr>
      <w:tr w:rsidR="001C74A9" w:rsidRPr="00C2456F" w14:paraId="51141BE7" w14:textId="77777777" w:rsidTr="00964638">
        <w:trPr>
          <w:trHeight w:val="300"/>
        </w:trPr>
        <w:tc>
          <w:tcPr>
            <w:tcW w:w="4379" w:type="dxa"/>
            <w:noWrap/>
            <w:hideMark/>
          </w:tcPr>
          <w:p w14:paraId="2A51AE5C" w14:textId="77777777" w:rsidR="001C74A9" w:rsidRPr="00C2456F" w:rsidRDefault="001C74A9" w:rsidP="00964638">
            <w:pPr>
              <w:pStyle w:val="NoSpacing"/>
            </w:pPr>
            <w:r w:rsidRPr="00C2456F">
              <w:t>LDLR c.502G&gt;A p.(Asp168Asn)</w:t>
            </w:r>
          </w:p>
        </w:tc>
        <w:tc>
          <w:tcPr>
            <w:tcW w:w="1466" w:type="dxa"/>
            <w:noWrap/>
            <w:hideMark/>
          </w:tcPr>
          <w:p w14:paraId="1A9ABC31" w14:textId="77777777" w:rsidR="001C74A9" w:rsidRPr="00C2456F" w:rsidRDefault="001C74A9" w:rsidP="00964638">
            <w:pPr>
              <w:pStyle w:val="NoSpacing"/>
            </w:pPr>
            <w:r w:rsidRPr="00C2456F">
              <w:t>2</w:t>
            </w:r>
          </w:p>
        </w:tc>
        <w:tc>
          <w:tcPr>
            <w:tcW w:w="3171" w:type="dxa"/>
            <w:noWrap/>
            <w:hideMark/>
          </w:tcPr>
          <w:p w14:paraId="3D326331" w14:textId="77777777" w:rsidR="001C74A9" w:rsidRPr="00C2456F" w:rsidRDefault="001C74A9" w:rsidP="00964638">
            <w:pPr>
              <w:pStyle w:val="NoSpacing"/>
            </w:pPr>
          </w:p>
        </w:tc>
      </w:tr>
      <w:tr w:rsidR="001C74A9" w:rsidRPr="00C2456F" w14:paraId="4DD473DC" w14:textId="77777777" w:rsidTr="00964638">
        <w:trPr>
          <w:trHeight w:val="300"/>
        </w:trPr>
        <w:tc>
          <w:tcPr>
            <w:tcW w:w="4379" w:type="dxa"/>
            <w:noWrap/>
            <w:hideMark/>
          </w:tcPr>
          <w:p w14:paraId="0B7F433D" w14:textId="77777777" w:rsidR="001C74A9" w:rsidRPr="00C2456F" w:rsidRDefault="001C74A9" w:rsidP="00964638">
            <w:pPr>
              <w:pStyle w:val="NoSpacing"/>
            </w:pPr>
            <w:r w:rsidRPr="00C2456F">
              <w:t>LDLR c.532G&gt;T, p.(Asp178Tyr)</w:t>
            </w:r>
          </w:p>
        </w:tc>
        <w:tc>
          <w:tcPr>
            <w:tcW w:w="1466" w:type="dxa"/>
            <w:noWrap/>
            <w:hideMark/>
          </w:tcPr>
          <w:p w14:paraId="2C43383A" w14:textId="77777777" w:rsidR="001C74A9" w:rsidRPr="00C2456F" w:rsidRDefault="001C74A9" w:rsidP="00964638">
            <w:pPr>
              <w:pStyle w:val="NoSpacing"/>
            </w:pPr>
            <w:r w:rsidRPr="00C2456F">
              <w:t>1</w:t>
            </w:r>
          </w:p>
        </w:tc>
        <w:tc>
          <w:tcPr>
            <w:tcW w:w="3171" w:type="dxa"/>
            <w:noWrap/>
            <w:hideMark/>
          </w:tcPr>
          <w:p w14:paraId="29D0E456" w14:textId="77777777" w:rsidR="001C74A9" w:rsidRPr="00C2456F" w:rsidRDefault="001C74A9" w:rsidP="00964638">
            <w:pPr>
              <w:pStyle w:val="NoSpacing"/>
            </w:pPr>
          </w:p>
        </w:tc>
      </w:tr>
      <w:tr w:rsidR="001C74A9" w:rsidRPr="00C2456F" w14:paraId="3D5619EF" w14:textId="77777777" w:rsidTr="00964638">
        <w:trPr>
          <w:trHeight w:val="300"/>
        </w:trPr>
        <w:tc>
          <w:tcPr>
            <w:tcW w:w="4379" w:type="dxa"/>
            <w:noWrap/>
            <w:hideMark/>
          </w:tcPr>
          <w:p w14:paraId="6A6D96BC" w14:textId="77777777" w:rsidR="001C74A9" w:rsidRPr="00C2456F" w:rsidRDefault="001C74A9" w:rsidP="00964638">
            <w:pPr>
              <w:pStyle w:val="NoSpacing"/>
            </w:pPr>
            <w:r w:rsidRPr="00C2456F">
              <w:t>LDLR c.564C&gt;G p.(Tyr188*)</w:t>
            </w:r>
          </w:p>
        </w:tc>
        <w:tc>
          <w:tcPr>
            <w:tcW w:w="1466" w:type="dxa"/>
            <w:noWrap/>
            <w:hideMark/>
          </w:tcPr>
          <w:p w14:paraId="093CA602" w14:textId="77777777" w:rsidR="001C74A9" w:rsidRPr="00C2456F" w:rsidRDefault="001C74A9" w:rsidP="00964638">
            <w:pPr>
              <w:pStyle w:val="NoSpacing"/>
            </w:pPr>
            <w:r w:rsidRPr="00C2456F">
              <w:t>1</w:t>
            </w:r>
          </w:p>
        </w:tc>
        <w:tc>
          <w:tcPr>
            <w:tcW w:w="3171" w:type="dxa"/>
            <w:noWrap/>
            <w:hideMark/>
          </w:tcPr>
          <w:p w14:paraId="76B949EE" w14:textId="77777777" w:rsidR="001C74A9" w:rsidRPr="00C2456F" w:rsidRDefault="001C74A9" w:rsidP="00964638">
            <w:pPr>
              <w:pStyle w:val="NoSpacing"/>
            </w:pPr>
          </w:p>
        </w:tc>
      </w:tr>
      <w:tr w:rsidR="001C74A9" w:rsidRPr="00C2456F" w14:paraId="1C36F5AF" w14:textId="77777777" w:rsidTr="00964638">
        <w:trPr>
          <w:trHeight w:val="300"/>
        </w:trPr>
        <w:tc>
          <w:tcPr>
            <w:tcW w:w="4379" w:type="dxa"/>
            <w:noWrap/>
            <w:hideMark/>
          </w:tcPr>
          <w:p w14:paraId="2B2DC403" w14:textId="77777777" w:rsidR="001C74A9" w:rsidRPr="00C2456F" w:rsidRDefault="001C74A9" w:rsidP="00964638">
            <w:pPr>
              <w:pStyle w:val="NoSpacing"/>
            </w:pPr>
            <w:r w:rsidRPr="00C2456F">
              <w:t>LDLR c.621C&gt;T p.Gly207Gly</w:t>
            </w:r>
          </w:p>
        </w:tc>
        <w:tc>
          <w:tcPr>
            <w:tcW w:w="1466" w:type="dxa"/>
            <w:noWrap/>
            <w:hideMark/>
          </w:tcPr>
          <w:p w14:paraId="15C566EF" w14:textId="77777777" w:rsidR="001C74A9" w:rsidRPr="00C2456F" w:rsidRDefault="001C74A9" w:rsidP="00964638">
            <w:pPr>
              <w:pStyle w:val="NoSpacing"/>
            </w:pPr>
            <w:r w:rsidRPr="00C2456F">
              <w:t>1</w:t>
            </w:r>
          </w:p>
        </w:tc>
        <w:tc>
          <w:tcPr>
            <w:tcW w:w="3171" w:type="dxa"/>
            <w:noWrap/>
            <w:hideMark/>
          </w:tcPr>
          <w:p w14:paraId="510A8902" w14:textId="77777777" w:rsidR="001C74A9" w:rsidRPr="00C2456F" w:rsidRDefault="001C74A9" w:rsidP="00964638">
            <w:pPr>
              <w:pStyle w:val="NoSpacing"/>
            </w:pPr>
          </w:p>
        </w:tc>
      </w:tr>
      <w:tr w:rsidR="001C74A9" w:rsidRPr="00C2456F" w14:paraId="136389E5" w14:textId="77777777" w:rsidTr="00964638">
        <w:trPr>
          <w:trHeight w:val="300"/>
        </w:trPr>
        <w:tc>
          <w:tcPr>
            <w:tcW w:w="4379" w:type="dxa"/>
            <w:noWrap/>
            <w:hideMark/>
          </w:tcPr>
          <w:p w14:paraId="037BF9E5" w14:textId="77777777" w:rsidR="001C74A9" w:rsidRPr="00C2456F" w:rsidRDefault="001C74A9" w:rsidP="00964638">
            <w:pPr>
              <w:pStyle w:val="NoSpacing"/>
            </w:pPr>
            <w:r w:rsidRPr="00C2456F">
              <w:t>LDLR c.663_683dup p.(Asp221_Asp227dup)</w:t>
            </w:r>
          </w:p>
        </w:tc>
        <w:tc>
          <w:tcPr>
            <w:tcW w:w="1466" w:type="dxa"/>
            <w:noWrap/>
            <w:hideMark/>
          </w:tcPr>
          <w:p w14:paraId="462E65F6" w14:textId="77777777" w:rsidR="001C74A9" w:rsidRPr="00C2456F" w:rsidRDefault="001C74A9" w:rsidP="00964638">
            <w:pPr>
              <w:pStyle w:val="NoSpacing"/>
            </w:pPr>
            <w:r w:rsidRPr="00C2456F">
              <w:t>1</w:t>
            </w:r>
          </w:p>
        </w:tc>
        <w:tc>
          <w:tcPr>
            <w:tcW w:w="3171" w:type="dxa"/>
            <w:noWrap/>
            <w:hideMark/>
          </w:tcPr>
          <w:p w14:paraId="7D0A68CD" w14:textId="77777777" w:rsidR="001C74A9" w:rsidRPr="00C2456F" w:rsidRDefault="001C74A9" w:rsidP="00964638">
            <w:pPr>
              <w:pStyle w:val="NoSpacing"/>
            </w:pPr>
          </w:p>
        </w:tc>
      </w:tr>
      <w:tr w:rsidR="001C74A9" w:rsidRPr="00C2456F" w14:paraId="575BD178" w14:textId="77777777" w:rsidTr="00964638">
        <w:trPr>
          <w:trHeight w:val="300"/>
        </w:trPr>
        <w:tc>
          <w:tcPr>
            <w:tcW w:w="4379" w:type="dxa"/>
            <w:noWrap/>
            <w:hideMark/>
          </w:tcPr>
          <w:p w14:paraId="6CADCEC3" w14:textId="77777777" w:rsidR="001C74A9" w:rsidRPr="00C2456F" w:rsidRDefault="001C74A9" w:rsidP="00964638">
            <w:pPr>
              <w:pStyle w:val="NoSpacing"/>
            </w:pPr>
            <w:r w:rsidRPr="00C2456F">
              <w:t>LDLR c.685G&gt;T p.(Glu229*)</w:t>
            </w:r>
          </w:p>
        </w:tc>
        <w:tc>
          <w:tcPr>
            <w:tcW w:w="1466" w:type="dxa"/>
            <w:noWrap/>
            <w:hideMark/>
          </w:tcPr>
          <w:p w14:paraId="62E1EDFF" w14:textId="77777777" w:rsidR="001C74A9" w:rsidRPr="00C2456F" w:rsidRDefault="001C74A9" w:rsidP="00964638">
            <w:pPr>
              <w:pStyle w:val="NoSpacing"/>
            </w:pPr>
            <w:r w:rsidRPr="00C2456F">
              <w:t>1</w:t>
            </w:r>
          </w:p>
        </w:tc>
        <w:tc>
          <w:tcPr>
            <w:tcW w:w="3171" w:type="dxa"/>
            <w:noWrap/>
            <w:hideMark/>
          </w:tcPr>
          <w:p w14:paraId="107443DB" w14:textId="77777777" w:rsidR="001C74A9" w:rsidRPr="00C2456F" w:rsidRDefault="001C74A9" w:rsidP="00964638">
            <w:pPr>
              <w:pStyle w:val="NoSpacing"/>
            </w:pPr>
          </w:p>
        </w:tc>
      </w:tr>
      <w:tr w:rsidR="001C74A9" w:rsidRPr="00C2456F" w14:paraId="1EE3F205" w14:textId="77777777" w:rsidTr="00964638">
        <w:trPr>
          <w:trHeight w:val="300"/>
        </w:trPr>
        <w:tc>
          <w:tcPr>
            <w:tcW w:w="4379" w:type="dxa"/>
            <w:noWrap/>
            <w:hideMark/>
          </w:tcPr>
          <w:p w14:paraId="787FC92C" w14:textId="77777777" w:rsidR="001C74A9" w:rsidRPr="00C2456F" w:rsidRDefault="001C74A9" w:rsidP="00964638">
            <w:pPr>
              <w:pStyle w:val="NoSpacing"/>
            </w:pPr>
            <w:r w:rsidRPr="00C2456F">
              <w:t>LDLR c.694+3_694+19del</w:t>
            </w:r>
          </w:p>
        </w:tc>
        <w:tc>
          <w:tcPr>
            <w:tcW w:w="1466" w:type="dxa"/>
            <w:noWrap/>
            <w:hideMark/>
          </w:tcPr>
          <w:p w14:paraId="5955A25B" w14:textId="77777777" w:rsidR="001C74A9" w:rsidRPr="00C2456F" w:rsidRDefault="001C74A9" w:rsidP="00964638">
            <w:pPr>
              <w:pStyle w:val="NoSpacing"/>
            </w:pPr>
            <w:r w:rsidRPr="00C2456F">
              <w:t>1</w:t>
            </w:r>
          </w:p>
        </w:tc>
        <w:tc>
          <w:tcPr>
            <w:tcW w:w="3171" w:type="dxa"/>
            <w:noWrap/>
            <w:hideMark/>
          </w:tcPr>
          <w:p w14:paraId="45426330" w14:textId="77777777" w:rsidR="001C74A9" w:rsidRPr="00C2456F" w:rsidRDefault="001C74A9" w:rsidP="00964638">
            <w:pPr>
              <w:pStyle w:val="NoSpacing"/>
            </w:pPr>
          </w:p>
        </w:tc>
      </w:tr>
      <w:tr w:rsidR="001C74A9" w:rsidRPr="00C2456F" w14:paraId="0B6E2C98" w14:textId="77777777" w:rsidTr="00964638">
        <w:trPr>
          <w:trHeight w:val="300"/>
        </w:trPr>
        <w:tc>
          <w:tcPr>
            <w:tcW w:w="4379" w:type="dxa"/>
            <w:noWrap/>
            <w:hideMark/>
          </w:tcPr>
          <w:p w14:paraId="29C86B88" w14:textId="77777777" w:rsidR="001C74A9" w:rsidRPr="00C2456F" w:rsidRDefault="001C74A9" w:rsidP="00964638">
            <w:pPr>
              <w:pStyle w:val="NoSpacing"/>
            </w:pPr>
            <w:r w:rsidRPr="00C2456F">
              <w:t>LDLR c.862G&gt;A, p.(Glu288Lys)</w:t>
            </w:r>
          </w:p>
        </w:tc>
        <w:tc>
          <w:tcPr>
            <w:tcW w:w="1466" w:type="dxa"/>
            <w:noWrap/>
            <w:hideMark/>
          </w:tcPr>
          <w:p w14:paraId="08D1FF5A" w14:textId="77777777" w:rsidR="001C74A9" w:rsidRPr="00C2456F" w:rsidRDefault="001C74A9" w:rsidP="00964638">
            <w:pPr>
              <w:pStyle w:val="NoSpacing"/>
            </w:pPr>
            <w:r w:rsidRPr="00C2456F">
              <w:t>1</w:t>
            </w:r>
          </w:p>
        </w:tc>
        <w:tc>
          <w:tcPr>
            <w:tcW w:w="3171" w:type="dxa"/>
            <w:noWrap/>
            <w:hideMark/>
          </w:tcPr>
          <w:p w14:paraId="7B3DC2FC" w14:textId="77777777" w:rsidR="001C74A9" w:rsidRPr="00C2456F" w:rsidRDefault="001C74A9" w:rsidP="00964638">
            <w:pPr>
              <w:pStyle w:val="NoSpacing"/>
            </w:pPr>
          </w:p>
        </w:tc>
      </w:tr>
      <w:tr w:rsidR="001C74A9" w:rsidRPr="00C2456F" w14:paraId="00E4F15C" w14:textId="77777777" w:rsidTr="00964638">
        <w:trPr>
          <w:trHeight w:val="300"/>
        </w:trPr>
        <w:tc>
          <w:tcPr>
            <w:tcW w:w="4379" w:type="dxa"/>
            <w:noWrap/>
            <w:hideMark/>
          </w:tcPr>
          <w:p w14:paraId="1CB17E31" w14:textId="77777777" w:rsidR="001C74A9" w:rsidRPr="00C2456F" w:rsidRDefault="001C74A9" w:rsidP="00964638">
            <w:pPr>
              <w:pStyle w:val="NoSpacing"/>
            </w:pPr>
            <w:r w:rsidRPr="00C2456F">
              <w:t>LDLR c.912C&gt;G p.(Asp304Glu) &amp; LDLR c.2096C&gt;T p.Pro699Leu)</w:t>
            </w:r>
          </w:p>
        </w:tc>
        <w:tc>
          <w:tcPr>
            <w:tcW w:w="1466" w:type="dxa"/>
            <w:noWrap/>
            <w:hideMark/>
          </w:tcPr>
          <w:p w14:paraId="6042CF67" w14:textId="77777777" w:rsidR="001C74A9" w:rsidRPr="00C2456F" w:rsidRDefault="001C74A9" w:rsidP="00964638">
            <w:pPr>
              <w:pStyle w:val="NoSpacing"/>
            </w:pPr>
            <w:r w:rsidRPr="00C2456F">
              <w:t>1</w:t>
            </w:r>
          </w:p>
        </w:tc>
        <w:tc>
          <w:tcPr>
            <w:tcW w:w="3171" w:type="dxa"/>
            <w:noWrap/>
            <w:hideMark/>
          </w:tcPr>
          <w:p w14:paraId="7E1B85B2" w14:textId="77777777" w:rsidR="001C74A9" w:rsidRPr="00C2456F" w:rsidRDefault="001C74A9" w:rsidP="00964638">
            <w:pPr>
              <w:pStyle w:val="NoSpacing"/>
            </w:pPr>
          </w:p>
        </w:tc>
      </w:tr>
      <w:tr w:rsidR="001C74A9" w:rsidRPr="00C2456F" w14:paraId="26F73088" w14:textId="77777777" w:rsidTr="00964638">
        <w:trPr>
          <w:trHeight w:val="300"/>
        </w:trPr>
        <w:tc>
          <w:tcPr>
            <w:tcW w:w="4379" w:type="dxa"/>
            <w:noWrap/>
            <w:hideMark/>
          </w:tcPr>
          <w:p w14:paraId="6A0BF4EA" w14:textId="77777777" w:rsidR="001C74A9" w:rsidRPr="00C2456F" w:rsidRDefault="001C74A9" w:rsidP="00964638">
            <w:pPr>
              <w:pStyle w:val="NoSpacing"/>
            </w:pPr>
            <w:r w:rsidRPr="00C2456F">
              <w:t>LDLR c.938_939delinsAT p.(Cys313Tyr)</w:t>
            </w:r>
          </w:p>
        </w:tc>
        <w:tc>
          <w:tcPr>
            <w:tcW w:w="1466" w:type="dxa"/>
            <w:noWrap/>
            <w:hideMark/>
          </w:tcPr>
          <w:p w14:paraId="67BFB270" w14:textId="77777777" w:rsidR="001C74A9" w:rsidRPr="00C2456F" w:rsidRDefault="001C74A9" w:rsidP="00964638">
            <w:pPr>
              <w:pStyle w:val="NoSpacing"/>
            </w:pPr>
            <w:r w:rsidRPr="00C2456F">
              <w:t>2</w:t>
            </w:r>
          </w:p>
        </w:tc>
        <w:tc>
          <w:tcPr>
            <w:tcW w:w="3171" w:type="dxa"/>
            <w:noWrap/>
            <w:hideMark/>
          </w:tcPr>
          <w:p w14:paraId="402D5A8A" w14:textId="77777777" w:rsidR="001C74A9" w:rsidRPr="00C2456F" w:rsidRDefault="001C74A9" w:rsidP="00964638">
            <w:pPr>
              <w:pStyle w:val="NoSpacing"/>
            </w:pPr>
          </w:p>
        </w:tc>
      </w:tr>
      <w:tr w:rsidR="001C74A9" w:rsidRPr="00C2456F" w14:paraId="38F6B15C" w14:textId="77777777" w:rsidTr="00964638">
        <w:trPr>
          <w:trHeight w:val="300"/>
        </w:trPr>
        <w:tc>
          <w:tcPr>
            <w:tcW w:w="4379" w:type="dxa"/>
            <w:noWrap/>
            <w:hideMark/>
          </w:tcPr>
          <w:p w14:paraId="740DA76C" w14:textId="77777777" w:rsidR="001C74A9" w:rsidRPr="00C2456F" w:rsidRDefault="001C74A9" w:rsidP="00964638">
            <w:pPr>
              <w:pStyle w:val="NoSpacing"/>
            </w:pPr>
            <w:r w:rsidRPr="00C2456F">
              <w:t>PCSK9 c.113A&gt;G p.(Tyr38Cys)</w:t>
            </w:r>
          </w:p>
        </w:tc>
        <w:tc>
          <w:tcPr>
            <w:tcW w:w="1466" w:type="dxa"/>
            <w:noWrap/>
            <w:hideMark/>
          </w:tcPr>
          <w:p w14:paraId="4ADCC827" w14:textId="77777777" w:rsidR="001C74A9" w:rsidRPr="00C2456F" w:rsidRDefault="001C74A9" w:rsidP="00964638">
            <w:pPr>
              <w:pStyle w:val="NoSpacing"/>
            </w:pPr>
            <w:r w:rsidRPr="00C2456F">
              <w:t>1</w:t>
            </w:r>
          </w:p>
        </w:tc>
        <w:tc>
          <w:tcPr>
            <w:tcW w:w="3171" w:type="dxa"/>
            <w:noWrap/>
            <w:hideMark/>
          </w:tcPr>
          <w:p w14:paraId="12F76BFE" w14:textId="77777777" w:rsidR="001C74A9" w:rsidRPr="00C2456F" w:rsidRDefault="001C74A9" w:rsidP="00964638">
            <w:pPr>
              <w:pStyle w:val="NoSpacing"/>
            </w:pPr>
          </w:p>
        </w:tc>
      </w:tr>
      <w:tr w:rsidR="001C74A9" w:rsidRPr="00C2456F" w14:paraId="21AE7A67" w14:textId="77777777" w:rsidTr="00964638">
        <w:trPr>
          <w:trHeight w:val="300"/>
        </w:trPr>
        <w:tc>
          <w:tcPr>
            <w:tcW w:w="4379" w:type="dxa"/>
            <w:shd w:val="clear" w:color="auto" w:fill="E2EFD9" w:themeFill="accent6" w:themeFillTint="33"/>
            <w:noWrap/>
            <w:hideMark/>
          </w:tcPr>
          <w:p w14:paraId="6AFEF833" w14:textId="77777777" w:rsidR="001C74A9" w:rsidRPr="001C74A9" w:rsidRDefault="001C74A9" w:rsidP="00964638">
            <w:pPr>
              <w:pStyle w:val="NoSpacing"/>
              <w:rPr>
                <w:b/>
              </w:rPr>
            </w:pPr>
            <w:r w:rsidRPr="001C74A9">
              <w:rPr>
                <w:b/>
              </w:rPr>
              <w:t>Total</w:t>
            </w:r>
          </w:p>
        </w:tc>
        <w:tc>
          <w:tcPr>
            <w:tcW w:w="1466" w:type="dxa"/>
            <w:shd w:val="clear" w:color="auto" w:fill="E2EFD9" w:themeFill="accent6" w:themeFillTint="33"/>
            <w:noWrap/>
            <w:hideMark/>
          </w:tcPr>
          <w:p w14:paraId="5284BE4D" w14:textId="77777777" w:rsidR="001C74A9" w:rsidRPr="001C74A9" w:rsidRDefault="001C74A9" w:rsidP="00964638">
            <w:pPr>
              <w:pStyle w:val="NoSpacing"/>
              <w:rPr>
                <w:b/>
              </w:rPr>
            </w:pPr>
            <w:r w:rsidRPr="001C74A9">
              <w:rPr>
                <w:b/>
              </w:rPr>
              <w:t>46</w:t>
            </w:r>
          </w:p>
        </w:tc>
        <w:tc>
          <w:tcPr>
            <w:tcW w:w="3171" w:type="dxa"/>
            <w:shd w:val="clear" w:color="auto" w:fill="E2EFD9" w:themeFill="accent6" w:themeFillTint="33"/>
            <w:noWrap/>
            <w:hideMark/>
          </w:tcPr>
          <w:p w14:paraId="498580E4" w14:textId="77777777" w:rsidR="001C74A9" w:rsidRPr="001C74A9" w:rsidRDefault="001C74A9" w:rsidP="00964638">
            <w:pPr>
              <w:pStyle w:val="NoSpacing"/>
              <w:keepNext/>
              <w:rPr>
                <w:b/>
              </w:rPr>
            </w:pPr>
          </w:p>
        </w:tc>
      </w:tr>
    </w:tbl>
    <w:p w14:paraId="6D3F8A34" w14:textId="77777777" w:rsidR="001C74A9" w:rsidRDefault="001C74A9" w:rsidP="001C74A9"/>
    <w:p w14:paraId="3DE612C8" w14:textId="77777777" w:rsidR="000B53ED" w:rsidRDefault="000B53ED" w:rsidP="000B53ED">
      <w:pPr>
        <w:autoSpaceDE w:val="0"/>
        <w:autoSpaceDN w:val="0"/>
        <w:adjustRightInd w:val="0"/>
        <w:spacing w:before="0" w:after="0" w:line="240" w:lineRule="auto"/>
        <w:rPr>
          <w:rFonts w:asciiTheme="minorHAnsi" w:hAnsiTheme="minorHAnsi" w:cs="F17"/>
          <w:lang w:val="en-US" w:eastAsia="en-GB"/>
        </w:rPr>
      </w:pPr>
    </w:p>
    <w:p w14:paraId="755FDB5C" w14:textId="77777777" w:rsidR="00B43E4B" w:rsidRDefault="00B43E4B" w:rsidP="000B53ED">
      <w:pPr>
        <w:autoSpaceDE w:val="0"/>
        <w:autoSpaceDN w:val="0"/>
        <w:adjustRightInd w:val="0"/>
        <w:spacing w:before="0" w:after="0" w:line="240" w:lineRule="auto"/>
        <w:rPr>
          <w:rFonts w:asciiTheme="minorHAnsi" w:hAnsiTheme="minorHAnsi" w:cs="F17"/>
          <w:lang w:val="en-US" w:eastAsia="en-GB"/>
        </w:rPr>
      </w:pPr>
    </w:p>
    <w:p w14:paraId="7E4CE9C4" w14:textId="38C26615" w:rsidR="00B43E4B" w:rsidRDefault="00B43E4B" w:rsidP="00B43E4B"/>
    <w:p w14:paraId="71EF7115" w14:textId="717C6B5F" w:rsidR="00B43E4B" w:rsidRPr="00B43E4B" w:rsidRDefault="00B43E4B" w:rsidP="00A82178">
      <w:pPr>
        <w:spacing w:before="0" w:after="0" w:line="240" w:lineRule="auto"/>
        <w:rPr>
          <w:lang w:val="en-US" w:eastAsia="en-GB"/>
        </w:rPr>
      </w:pPr>
    </w:p>
    <w:sectPr w:rsidR="00B43E4B" w:rsidRPr="00B43E4B" w:rsidSect="00311874">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Allen" w:date="2017-05-09T11:39:00Z" w:initials="JA">
    <w:p w14:paraId="0EC3F67E" w14:textId="37E7C79E" w:rsidR="0012635A" w:rsidRDefault="0012635A">
      <w:pPr>
        <w:pStyle w:val="CommentText"/>
      </w:pPr>
      <w:r>
        <w:rPr>
          <w:rStyle w:val="CommentReference"/>
        </w:rPr>
        <w:annotationRef/>
      </w:r>
      <w:r>
        <w:t>Add ref</w:t>
      </w:r>
    </w:p>
  </w:comment>
  <w:comment w:id="1" w:author="Joy Allen" w:date="2017-05-09T11:39:00Z" w:initials="JA">
    <w:p w14:paraId="66969A29" w14:textId="61A9EF15" w:rsidR="0012635A" w:rsidRDefault="0012635A">
      <w:pPr>
        <w:pStyle w:val="CommentText"/>
      </w:pPr>
      <w:r>
        <w:rPr>
          <w:rStyle w:val="CommentReference"/>
        </w:rPr>
        <w:annotationRef/>
      </w:r>
      <w:r>
        <w:t>Add reference</w:t>
      </w:r>
    </w:p>
  </w:comment>
  <w:comment w:id="2" w:author="Joy Allen" w:date="2017-05-11T10:10:00Z" w:initials="JA">
    <w:p w14:paraId="5E29DDF2" w14:textId="77777777" w:rsidR="0012635A" w:rsidRDefault="0012635A">
      <w:pPr>
        <w:pStyle w:val="CommentText"/>
      </w:pPr>
      <w:r>
        <w:rPr>
          <w:rStyle w:val="CommentReference"/>
        </w:rPr>
        <w:annotationRef/>
      </w:r>
      <w:proofErr w:type="gramStart"/>
      <w:r>
        <w:t>need</w:t>
      </w:r>
      <w:proofErr w:type="gramEnd"/>
      <w:r>
        <w:t xml:space="preserve"> to re-do with removed index case</w:t>
      </w:r>
    </w:p>
    <w:p w14:paraId="14AE4496" w14:textId="226A2C15" w:rsidR="0012635A" w:rsidRDefault="0012635A">
      <w:pPr>
        <w:pStyle w:val="CommentText"/>
      </w:pPr>
    </w:p>
  </w:comment>
  <w:comment w:id="4" w:author="Joy Allen" w:date="2017-05-11T11:36:00Z" w:initials="JA">
    <w:p w14:paraId="42C4BD8D" w14:textId="77777777" w:rsidR="0012635A" w:rsidRDefault="0012635A" w:rsidP="0012635A">
      <w:pPr>
        <w:pStyle w:val="CommentText"/>
      </w:pPr>
      <w:r>
        <w:rPr>
          <w:rStyle w:val="CommentReference"/>
        </w:rPr>
        <w:annotationRef/>
      </w:r>
      <w:proofErr w:type="gramStart"/>
      <w:r>
        <w:t>chance</w:t>
      </w:r>
      <w:proofErr w:type="gramEnd"/>
      <w:r>
        <w:t xml:space="preserve"> </w:t>
      </w:r>
      <w:proofErr w:type="spellStart"/>
      <w:r>
        <w:t>miseq</w:t>
      </w:r>
      <w:proofErr w:type="spellEnd"/>
      <w:r>
        <w:t xml:space="preserve"> to sequence and </w:t>
      </w:r>
      <w:proofErr w:type="spellStart"/>
      <w:r>
        <w:t>sequenom</w:t>
      </w:r>
      <w:proofErr w:type="spellEnd"/>
      <w:r>
        <w:t xml:space="preserve"> to chip</w:t>
      </w:r>
    </w:p>
  </w:comment>
  <w:comment w:id="5" w:author="Joy Allen" w:date="2017-05-11T11:40:00Z" w:initials="JA">
    <w:p w14:paraId="503E108A" w14:textId="77777777" w:rsidR="00C36469" w:rsidRDefault="00C36469">
      <w:pPr>
        <w:pStyle w:val="CommentText"/>
      </w:pPr>
      <w:r>
        <w:rPr>
          <w:rStyle w:val="CommentReference"/>
        </w:rPr>
        <w:annotationRef/>
      </w:r>
      <w:r w:rsidR="00F63955">
        <w:t>Redo this g</w:t>
      </w:r>
      <w:r w:rsidR="00F63955">
        <w:t>raph</w:t>
      </w:r>
    </w:p>
    <w:p w14:paraId="6948E7BC" w14:textId="4528FB50" w:rsidR="00C36469" w:rsidRDefault="00C3646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3F67E" w15:done="0"/>
  <w15:commentEx w15:paraId="66969A2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CBEDD" w14:textId="77777777" w:rsidR="0012635A" w:rsidRDefault="0012635A" w:rsidP="00241D2E">
      <w:r>
        <w:separator/>
      </w:r>
    </w:p>
  </w:endnote>
  <w:endnote w:type="continuationSeparator" w:id="0">
    <w:p w14:paraId="10CFBDD4" w14:textId="77777777" w:rsidR="0012635A" w:rsidRDefault="0012635A" w:rsidP="0024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Segoe UI">
    <w:altName w:val="Menlo Bold"/>
    <w:charset w:val="00"/>
    <w:family w:val="swiss"/>
    <w:pitch w:val="variable"/>
    <w:sig w:usb0="E10022FF" w:usb1="C000E47F" w:usb2="00000029" w:usb3="00000000" w:csb0="000001D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F17">
    <w:altName w:val="Cambr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B0CE8" w14:textId="27C1274C" w:rsidR="0012635A" w:rsidRDefault="0012635A" w:rsidP="008556D9">
    <w:pPr>
      <w:pStyle w:val="Footer"/>
      <w:pBdr>
        <w:top w:val="single" w:sz="4" w:space="1" w:color="DEEAF6"/>
      </w:pBdr>
    </w:pPr>
    <w:r>
      <w:rPr>
        <w:color w:val="1F497D"/>
      </w:rPr>
      <w:t>NCL_DEC0049</w:t>
    </w:r>
    <w:r>
      <w:rPr>
        <w:color w:val="1F497D"/>
      </w:rPr>
      <w:tab/>
      <w:t xml:space="preserve">page </w:t>
    </w:r>
    <w:r>
      <w:rPr>
        <w:color w:val="1F497D"/>
      </w:rPr>
      <w:fldChar w:fldCharType="begin"/>
    </w:r>
    <w:r>
      <w:rPr>
        <w:color w:val="1F497D"/>
      </w:rPr>
      <w:instrText xml:space="preserve"> PAGE  \* Arabic  \* MERGEFORMAT </w:instrText>
    </w:r>
    <w:r>
      <w:rPr>
        <w:color w:val="1F497D"/>
      </w:rPr>
      <w:fldChar w:fldCharType="separate"/>
    </w:r>
    <w:r w:rsidR="002B0C2F">
      <w:rPr>
        <w:noProof/>
        <w:color w:val="1F497D"/>
      </w:rPr>
      <w:t>4</w:t>
    </w:r>
    <w:r>
      <w:rPr>
        <w:color w:val="1F497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2E1AB" w14:textId="41AB8057" w:rsidR="0012635A" w:rsidRDefault="0012635A" w:rsidP="008556D9">
    <w:pPr>
      <w:pStyle w:val="Footer"/>
      <w:pBdr>
        <w:top w:val="single" w:sz="4" w:space="1" w:color="DEEAF6"/>
      </w:pBdr>
    </w:pPr>
    <w:r>
      <w:rPr>
        <w:color w:val="1F497D"/>
      </w:rPr>
      <w:t>NCL_DEC00??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05E69" w14:textId="77777777" w:rsidR="0012635A" w:rsidRDefault="0012635A" w:rsidP="00241D2E">
      <w:r>
        <w:separator/>
      </w:r>
    </w:p>
  </w:footnote>
  <w:footnote w:type="continuationSeparator" w:id="0">
    <w:p w14:paraId="4336B3DE" w14:textId="77777777" w:rsidR="0012635A" w:rsidRDefault="0012635A" w:rsidP="00241D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0589" w14:textId="04FC2216" w:rsidR="0012635A" w:rsidRPr="009A5E5E" w:rsidRDefault="0012635A" w:rsidP="00436CB8">
    <w:pPr>
      <w:pBdr>
        <w:bottom w:val="single" w:sz="4" w:space="1" w:color="DEEAF6"/>
      </w:pBdr>
      <w:jc w:val="center"/>
    </w:pPr>
    <w:r w:rsidRPr="004C654C">
      <w:t xml:space="preserve">Evaluation of the two-step testing strategy for familial </w:t>
    </w:r>
    <w:proofErr w:type="spellStart"/>
    <w:r w:rsidRPr="004C654C">
      <w:t>hypercholesterolaemia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7546"/>
    <w:multiLevelType w:val="hybridMultilevel"/>
    <w:tmpl w:val="D238671C"/>
    <w:lvl w:ilvl="0" w:tplc="0A642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349A8"/>
    <w:multiLevelType w:val="hybridMultilevel"/>
    <w:tmpl w:val="CF20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CD7D61"/>
    <w:multiLevelType w:val="hybridMultilevel"/>
    <w:tmpl w:val="85B014D4"/>
    <w:lvl w:ilvl="0" w:tplc="5D389E8A">
      <w:start w:val="1"/>
      <w:numFmt w:val="upperLetter"/>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B65CBE"/>
    <w:multiLevelType w:val="hybridMultilevel"/>
    <w:tmpl w:val="F82E972C"/>
    <w:lvl w:ilvl="0" w:tplc="49943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13B64"/>
    <w:multiLevelType w:val="hybridMultilevel"/>
    <w:tmpl w:val="591CE9B2"/>
    <w:lvl w:ilvl="0" w:tplc="E488F78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83110"/>
    <w:multiLevelType w:val="hybridMultilevel"/>
    <w:tmpl w:val="DF9E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B6C03"/>
    <w:multiLevelType w:val="hybridMultilevel"/>
    <w:tmpl w:val="96CA70B6"/>
    <w:lvl w:ilvl="0" w:tplc="E488F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63908"/>
    <w:multiLevelType w:val="hybridMultilevel"/>
    <w:tmpl w:val="50AE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91C87"/>
    <w:multiLevelType w:val="hybridMultilevel"/>
    <w:tmpl w:val="3F168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3"/>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9E76F3"/>
    <w:rsid w:val="00003584"/>
    <w:rsid w:val="00010A69"/>
    <w:rsid w:val="0001126A"/>
    <w:rsid w:val="00011FF6"/>
    <w:rsid w:val="00015A3D"/>
    <w:rsid w:val="00016AD3"/>
    <w:rsid w:val="00026E09"/>
    <w:rsid w:val="00036CD5"/>
    <w:rsid w:val="00037400"/>
    <w:rsid w:val="00037B59"/>
    <w:rsid w:val="00047FC9"/>
    <w:rsid w:val="00053CB9"/>
    <w:rsid w:val="000552A8"/>
    <w:rsid w:val="00055E12"/>
    <w:rsid w:val="0006261C"/>
    <w:rsid w:val="0007416E"/>
    <w:rsid w:val="000778EA"/>
    <w:rsid w:val="00082B1C"/>
    <w:rsid w:val="00091F70"/>
    <w:rsid w:val="000B1259"/>
    <w:rsid w:val="000B18B5"/>
    <w:rsid w:val="000B53ED"/>
    <w:rsid w:val="000B74ED"/>
    <w:rsid w:val="000C799A"/>
    <w:rsid w:val="000D2036"/>
    <w:rsid w:val="000D5F0E"/>
    <w:rsid w:val="000D6504"/>
    <w:rsid w:val="000D76C4"/>
    <w:rsid w:val="000E3FC7"/>
    <w:rsid w:val="000E5D8B"/>
    <w:rsid w:val="000F6DE4"/>
    <w:rsid w:val="001042F8"/>
    <w:rsid w:val="0012635A"/>
    <w:rsid w:val="00133946"/>
    <w:rsid w:val="00142E23"/>
    <w:rsid w:val="0016171F"/>
    <w:rsid w:val="00167F09"/>
    <w:rsid w:val="001919CF"/>
    <w:rsid w:val="00193A0E"/>
    <w:rsid w:val="001969F5"/>
    <w:rsid w:val="001C74A9"/>
    <w:rsid w:val="001D2926"/>
    <w:rsid w:val="001E52A2"/>
    <w:rsid w:val="00202F0F"/>
    <w:rsid w:val="002052B8"/>
    <w:rsid w:val="00214C81"/>
    <w:rsid w:val="00217017"/>
    <w:rsid w:val="002171F7"/>
    <w:rsid w:val="0022415F"/>
    <w:rsid w:val="002348D0"/>
    <w:rsid w:val="00241D2E"/>
    <w:rsid w:val="00261C0C"/>
    <w:rsid w:val="00267D73"/>
    <w:rsid w:val="00271A3C"/>
    <w:rsid w:val="002771FB"/>
    <w:rsid w:val="00287642"/>
    <w:rsid w:val="00292309"/>
    <w:rsid w:val="002A15D3"/>
    <w:rsid w:val="002A2C5C"/>
    <w:rsid w:val="002B0C2F"/>
    <w:rsid w:val="002B47B9"/>
    <w:rsid w:val="002B5AC0"/>
    <w:rsid w:val="002C7814"/>
    <w:rsid w:val="002D3D99"/>
    <w:rsid w:val="002D7179"/>
    <w:rsid w:val="002E273A"/>
    <w:rsid w:val="002E4BB4"/>
    <w:rsid w:val="002F7197"/>
    <w:rsid w:val="003022FE"/>
    <w:rsid w:val="00302335"/>
    <w:rsid w:val="00307701"/>
    <w:rsid w:val="00310470"/>
    <w:rsid w:val="00311874"/>
    <w:rsid w:val="00315531"/>
    <w:rsid w:val="0032134A"/>
    <w:rsid w:val="00326A91"/>
    <w:rsid w:val="00326B9E"/>
    <w:rsid w:val="003355D0"/>
    <w:rsid w:val="00346460"/>
    <w:rsid w:val="00347ABF"/>
    <w:rsid w:val="00350F43"/>
    <w:rsid w:val="00353B92"/>
    <w:rsid w:val="00356301"/>
    <w:rsid w:val="0036517D"/>
    <w:rsid w:val="00365977"/>
    <w:rsid w:val="003709D4"/>
    <w:rsid w:val="003852D0"/>
    <w:rsid w:val="00394E1C"/>
    <w:rsid w:val="00397B78"/>
    <w:rsid w:val="003A1732"/>
    <w:rsid w:val="003B0FF3"/>
    <w:rsid w:val="003B67EB"/>
    <w:rsid w:val="003C2F94"/>
    <w:rsid w:val="003D3183"/>
    <w:rsid w:val="003D4077"/>
    <w:rsid w:val="003E490F"/>
    <w:rsid w:val="003E6572"/>
    <w:rsid w:val="003E7B3C"/>
    <w:rsid w:val="00402613"/>
    <w:rsid w:val="00404E25"/>
    <w:rsid w:val="00425C0F"/>
    <w:rsid w:val="00436CB8"/>
    <w:rsid w:val="0045336E"/>
    <w:rsid w:val="0045408A"/>
    <w:rsid w:val="004610CA"/>
    <w:rsid w:val="004904F7"/>
    <w:rsid w:val="00497919"/>
    <w:rsid w:val="004A3FEC"/>
    <w:rsid w:val="004C654C"/>
    <w:rsid w:val="004D3FC0"/>
    <w:rsid w:val="004E35A2"/>
    <w:rsid w:val="004E414B"/>
    <w:rsid w:val="004E4F95"/>
    <w:rsid w:val="00512BF7"/>
    <w:rsid w:val="00514EBA"/>
    <w:rsid w:val="00516790"/>
    <w:rsid w:val="0052133A"/>
    <w:rsid w:val="00573864"/>
    <w:rsid w:val="005751FE"/>
    <w:rsid w:val="005817E7"/>
    <w:rsid w:val="00582073"/>
    <w:rsid w:val="00585E09"/>
    <w:rsid w:val="00597487"/>
    <w:rsid w:val="005A1CDC"/>
    <w:rsid w:val="005A1F84"/>
    <w:rsid w:val="005B5A81"/>
    <w:rsid w:val="005B5BD4"/>
    <w:rsid w:val="005B6E53"/>
    <w:rsid w:val="005C21CC"/>
    <w:rsid w:val="005C5C1B"/>
    <w:rsid w:val="005C6E13"/>
    <w:rsid w:val="005C7D3A"/>
    <w:rsid w:val="005D24EF"/>
    <w:rsid w:val="005D3471"/>
    <w:rsid w:val="005D4176"/>
    <w:rsid w:val="005E0F36"/>
    <w:rsid w:val="005E71DC"/>
    <w:rsid w:val="005E784A"/>
    <w:rsid w:val="005E7A19"/>
    <w:rsid w:val="005F3DE3"/>
    <w:rsid w:val="006007EB"/>
    <w:rsid w:val="00603212"/>
    <w:rsid w:val="00617203"/>
    <w:rsid w:val="0063318C"/>
    <w:rsid w:val="006341D2"/>
    <w:rsid w:val="00643BD3"/>
    <w:rsid w:val="00646BDF"/>
    <w:rsid w:val="00650083"/>
    <w:rsid w:val="00653E46"/>
    <w:rsid w:val="006567FF"/>
    <w:rsid w:val="00660C42"/>
    <w:rsid w:val="00661955"/>
    <w:rsid w:val="00682CE8"/>
    <w:rsid w:val="006914DA"/>
    <w:rsid w:val="00692C99"/>
    <w:rsid w:val="0069598C"/>
    <w:rsid w:val="006A2479"/>
    <w:rsid w:val="006B15C5"/>
    <w:rsid w:val="006D7EE3"/>
    <w:rsid w:val="006E4386"/>
    <w:rsid w:val="006E5B98"/>
    <w:rsid w:val="006E72DF"/>
    <w:rsid w:val="006E7312"/>
    <w:rsid w:val="006F0F78"/>
    <w:rsid w:val="00703C0C"/>
    <w:rsid w:val="00710BB0"/>
    <w:rsid w:val="00717CE2"/>
    <w:rsid w:val="00751CAD"/>
    <w:rsid w:val="00781C99"/>
    <w:rsid w:val="007953EB"/>
    <w:rsid w:val="007B5F25"/>
    <w:rsid w:val="007C3AFE"/>
    <w:rsid w:val="007D1857"/>
    <w:rsid w:val="007D47E5"/>
    <w:rsid w:val="007E225A"/>
    <w:rsid w:val="007F78CF"/>
    <w:rsid w:val="00800742"/>
    <w:rsid w:val="0080654A"/>
    <w:rsid w:val="0082326E"/>
    <w:rsid w:val="00827232"/>
    <w:rsid w:val="0083085D"/>
    <w:rsid w:val="00834D95"/>
    <w:rsid w:val="00843797"/>
    <w:rsid w:val="008529F3"/>
    <w:rsid w:val="008556D9"/>
    <w:rsid w:val="00862328"/>
    <w:rsid w:val="00877FF7"/>
    <w:rsid w:val="00886A22"/>
    <w:rsid w:val="008A09A2"/>
    <w:rsid w:val="008B1F34"/>
    <w:rsid w:val="008B4CB0"/>
    <w:rsid w:val="008B7CBE"/>
    <w:rsid w:val="008E7D39"/>
    <w:rsid w:val="008F7509"/>
    <w:rsid w:val="00901927"/>
    <w:rsid w:val="0090213D"/>
    <w:rsid w:val="00903159"/>
    <w:rsid w:val="00910E92"/>
    <w:rsid w:val="0092625D"/>
    <w:rsid w:val="00941E8D"/>
    <w:rsid w:val="0095049F"/>
    <w:rsid w:val="00961139"/>
    <w:rsid w:val="00961C87"/>
    <w:rsid w:val="00964638"/>
    <w:rsid w:val="00973D23"/>
    <w:rsid w:val="00980B09"/>
    <w:rsid w:val="00981A8B"/>
    <w:rsid w:val="009839D5"/>
    <w:rsid w:val="00984B3B"/>
    <w:rsid w:val="00986B54"/>
    <w:rsid w:val="0099784A"/>
    <w:rsid w:val="009A5E5E"/>
    <w:rsid w:val="009B7D14"/>
    <w:rsid w:val="009D48F2"/>
    <w:rsid w:val="009D57FD"/>
    <w:rsid w:val="009E76F3"/>
    <w:rsid w:val="009F5FD3"/>
    <w:rsid w:val="00A26E72"/>
    <w:rsid w:val="00A36899"/>
    <w:rsid w:val="00A372A1"/>
    <w:rsid w:val="00A4030D"/>
    <w:rsid w:val="00A476A2"/>
    <w:rsid w:val="00A5195A"/>
    <w:rsid w:val="00A520CC"/>
    <w:rsid w:val="00A61F12"/>
    <w:rsid w:val="00A62199"/>
    <w:rsid w:val="00A82178"/>
    <w:rsid w:val="00A86E2D"/>
    <w:rsid w:val="00A9057D"/>
    <w:rsid w:val="00A91877"/>
    <w:rsid w:val="00A97A60"/>
    <w:rsid w:val="00AB1F2B"/>
    <w:rsid w:val="00AB6DD6"/>
    <w:rsid w:val="00AC06AA"/>
    <w:rsid w:val="00AC744C"/>
    <w:rsid w:val="00AD4D25"/>
    <w:rsid w:val="00AD5C8D"/>
    <w:rsid w:val="00AE2831"/>
    <w:rsid w:val="00AE37EF"/>
    <w:rsid w:val="00AE571C"/>
    <w:rsid w:val="00AF2B86"/>
    <w:rsid w:val="00AF489C"/>
    <w:rsid w:val="00AF6C6C"/>
    <w:rsid w:val="00B00100"/>
    <w:rsid w:val="00B20C71"/>
    <w:rsid w:val="00B220F3"/>
    <w:rsid w:val="00B25CD1"/>
    <w:rsid w:val="00B268B7"/>
    <w:rsid w:val="00B43E4B"/>
    <w:rsid w:val="00B45B01"/>
    <w:rsid w:val="00B50317"/>
    <w:rsid w:val="00B5615E"/>
    <w:rsid w:val="00B61147"/>
    <w:rsid w:val="00B64E4C"/>
    <w:rsid w:val="00B76035"/>
    <w:rsid w:val="00B837D1"/>
    <w:rsid w:val="00B8770C"/>
    <w:rsid w:val="00B90D7F"/>
    <w:rsid w:val="00B95271"/>
    <w:rsid w:val="00B96393"/>
    <w:rsid w:val="00BA7FBF"/>
    <w:rsid w:val="00BB0F38"/>
    <w:rsid w:val="00BB6D69"/>
    <w:rsid w:val="00BC0923"/>
    <w:rsid w:val="00BC1B3F"/>
    <w:rsid w:val="00BC2F50"/>
    <w:rsid w:val="00BC52A4"/>
    <w:rsid w:val="00BD0D32"/>
    <w:rsid w:val="00BD4746"/>
    <w:rsid w:val="00BE5D21"/>
    <w:rsid w:val="00BF00B2"/>
    <w:rsid w:val="00BF072E"/>
    <w:rsid w:val="00C01225"/>
    <w:rsid w:val="00C07B80"/>
    <w:rsid w:val="00C10700"/>
    <w:rsid w:val="00C17D7B"/>
    <w:rsid w:val="00C2145D"/>
    <w:rsid w:val="00C22859"/>
    <w:rsid w:val="00C2456F"/>
    <w:rsid w:val="00C35836"/>
    <w:rsid w:val="00C36469"/>
    <w:rsid w:val="00C40481"/>
    <w:rsid w:val="00C420E7"/>
    <w:rsid w:val="00C622E3"/>
    <w:rsid w:val="00C638CD"/>
    <w:rsid w:val="00C844E1"/>
    <w:rsid w:val="00C979A1"/>
    <w:rsid w:val="00CA6E66"/>
    <w:rsid w:val="00CB6646"/>
    <w:rsid w:val="00CD198C"/>
    <w:rsid w:val="00CF649C"/>
    <w:rsid w:val="00D0472A"/>
    <w:rsid w:val="00D073D3"/>
    <w:rsid w:val="00D177F5"/>
    <w:rsid w:val="00D20630"/>
    <w:rsid w:val="00D219F2"/>
    <w:rsid w:val="00D36A62"/>
    <w:rsid w:val="00D42D2E"/>
    <w:rsid w:val="00D4549F"/>
    <w:rsid w:val="00D51E46"/>
    <w:rsid w:val="00D6219A"/>
    <w:rsid w:val="00D62F0C"/>
    <w:rsid w:val="00D83DDC"/>
    <w:rsid w:val="00D853F1"/>
    <w:rsid w:val="00DA73AE"/>
    <w:rsid w:val="00DB65FA"/>
    <w:rsid w:val="00DB7E0E"/>
    <w:rsid w:val="00DC0CAA"/>
    <w:rsid w:val="00DE5EB1"/>
    <w:rsid w:val="00DF141C"/>
    <w:rsid w:val="00E0706A"/>
    <w:rsid w:val="00E121F2"/>
    <w:rsid w:val="00E16014"/>
    <w:rsid w:val="00E166F2"/>
    <w:rsid w:val="00E21B9E"/>
    <w:rsid w:val="00E312C8"/>
    <w:rsid w:val="00E336A7"/>
    <w:rsid w:val="00E47C52"/>
    <w:rsid w:val="00E61151"/>
    <w:rsid w:val="00E7082C"/>
    <w:rsid w:val="00E74391"/>
    <w:rsid w:val="00E959C1"/>
    <w:rsid w:val="00E96026"/>
    <w:rsid w:val="00EA7825"/>
    <w:rsid w:val="00EC1B73"/>
    <w:rsid w:val="00EC7C90"/>
    <w:rsid w:val="00ED109B"/>
    <w:rsid w:val="00EE0F7A"/>
    <w:rsid w:val="00EE6E23"/>
    <w:rsid w:val="00EF0D24"/>
    <w:rsid w:val="00F060C3"/>
    <w:rsid w:val="00F06EBA"/>
    <w:rsid w:val="00F075C0"/>
    <w:rsid w:val="00F145ED"/>
    <w:rsid w:val="00F241D7"/>
    <w:rsid w:val="00F24E21"/>
    <w:rsid w:val="00F320B6"/>
    <w:rsid w:val="00F45DCC"/>
    <w:rsid w:val="00F5047F"/>
    <w:rsid w:val="00F610D9"/>
    <w:rsid w:val="00F65E3B"/>
    <w:rsid w:val="00F725DD"/>
    <w:rsid w:val="00F76534"/>
    <w:rsid w:val="00F76AB9"/>
    <w:rsid w:val="00F807BD"/>
    <w:rsid w:val="00F8321A"/>
    <w:rsid w:val="00F86200"/>
    <w:rsid w:val="00F91E07"/>
    <w:rsid w:val="00F926F6"/>
    <w:rsid w:val="00FA051E"/>
    <w:rsid w:val="00FA20A7"/>
    <w:rsid w:val="00FA2F11"/>
    <w:rsid w:val="00FA46BD"/>
    <w:rsid w:val="00FB4729"/>
    <w:rsid w:val="00FB6691"/>
    <w:rsid w:val="00FC74B1"/>
    <w:rsid w:val="00FD6899"/>
    <w:rsid w:val="00FE34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31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D2E"/>
    <w:pPr>
      <w:spacing w:before="120" w:after="120" w:line="259" w:lineRule="auto"/>
    </w:pPr>
    <w:rPr>
      <w:sz w:val="22"/>
      <w:szCs w:val="22"/>
      <w:lang w:eastAsia="en-US"/>
    </w:rPr>
  </w:style>
  <w:style w:type="paragraph" w:styleId="Heading1">
    <w:name w:val="heading 1"/>
    <w:basedOn w:val="Normal"/>
    <w:next w:val="Normal"/>
    <w:link w:val="Heading1Char"/>
    <w:uiPriority w:val="9"/>
    <w:qFormat/>
    <w:rsid w:val="000C799A"/>
    <w:pPr>
      <w:keepNext/>
      <w:keepLines/>
      <w:spacing w:before="240"/>
      <w:outlineLvl w:val="0"/>
    </w:pPr>
    <w:rPr>
      <w:rFonts w:ascii="Calibri Light" w:eastAsia="MS Gothic" w:hAnsi="Calibri Light"/>
      <w:b/>
      <w:color w:val="2E74B5"/>
      <w:sz w:val="32"/>
      <w:szCs w:val="32"/>
    </w:rPr>
  </w:style>
  <w:style w:type="paragraph" w:styleId="Heading2">
    <w:name w:val="heading 2"/>
    <w:basedOn w:val="Normal"/>
    <w:next w:val="Normal"/>
    <w:link w:val="Heading2Char"/>
    <w:uiPriority w:val="9"/>
    <w:unhideWhenUsed/>
    <w:qFormat/>
    <w:rsid w:val="000C799A"/>
    <w:pPr>
      <w:keepNext/>
      <w:keepLines/>
      <w:outlineLvl w:val="1"/>
    </w:pPr>
    <w:rPr>
      <w:rFonts w:ascii="Calibri Light" w:eastAsia="MS Gothic" w:hAnsi="Calibri Light"/>
      <w:b/>
      <w:color w:val="2E74B5"/>
      <w:sz w:val="26"/>
      <w:szCs w:val="26"/>
    </w:rPr>
  </w:style>
  <w:style w:type="paragraph" w:styleId="Heading3">
    <w:name w:val="heading 3"/>
    <w:basedOn w:val="Normal"/>
    <w:next w:val="Normal"/>
    <w:link w:val="Heading3Char"/>
    <w:uiPriority w:val="9"/>
    <w:unhideWhenUsed/>
    <w:qFormat/>
    <w:rsid w:val="009E76F3"/>
    <w:pPr>
      <w:keepNext/>
      <w:keepLines/>
      <w:spacing w:before="40" w:after="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0C799A"/>
    <w:pPr>
      <w:keepNext/>
      <w:keepLines/>
      <w:outlineLvl w:val="3"/>
    </w:pPr>
    <w:rPr>
      <w:rFonts w:ascii="Calibri Light" w:eastAsia="MS Gothic" w:hAnsi="Calibri Light"/>
      <w:b/>
      <w:bCs/>
      <w:i/>
      <w:iCs/>
      <w:noProof/>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F3"/>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9E76F3"/>
    <w:rPr>
      <w:rFonts w:ascii="Calibri Light" w:eastAsia="MS Gothic" w:hAnsi="Calibri Light" w:cs="Times New Roman"/>
      <w:spacing w:val="-10"/>
      <w:kern w:val="28"/>
      <w:sz w:val="56"/>
      <w:szCs w:val="56"/>
    </w:rPr>
  </w:style>
  <w:style w:type="character" w:customStyle="1" w:styleId="Heading1Char">
    <w:name w:val="Heading 1 Char"/>
    <w:link w:val="Heading1"/>
    <w:uiPriority w:val="9"/>
    <w:rsid w:val="000C799A"/>
    <w:rPr>
      <w:rFonts w:ascii="Calibri Light" w:eastAsia="MS Gothic" w:hAnsi="Calibri Light" w:cs="Times New Roman"/>
      <w:b/>
      <w:color w:val="2E74B5"/>
      <w:sz w:val="32"/>
      <w:szCs w:val="32"/>
    </w:rPr>
  </w:style>
  <w:style w:type="character" w:customStyle="1" w:styleId="Heading2Char">
    <w:name w:val="Heading 2 Char"/>
    <w:link w:val="Heading2"/>
    <w:uiPriority w:val="9"/>
    <w:rsid w:val="000C799A"/>
    <w:rPr>
      <w:rFonts w:ascii="Calibri Light" w:eastAsia="MS Gothic" w:hAnsi="Calibri Light" w:cs="Times New Roman"/>
      <w:b/>
      <w:color w:val="2E74B5"/>
      <w:sz w:val="26"/>
      <w:szCs w:val="26"/>
    </w:rPr>
  </w:style>
  <w:style w:type="character" w:customStyle="1" w:styleId="Heading3Char">
    <w:name w:val="Heading 3 Char"/>
    <w:link w:val="Heading3"/>
    <w:uiPriority w:val="9"/>
    <w:rsid w:val="009E76F3"/>
    <w:rPr>
      <w:rFonts w:ascii="Calibri Light" w:eastAsia="MS Gothic" w:hAnsi="Calibri Light" w:cs="Times New Roman"/>
      <w:color w:val="1F4D78"/>
      <w:sz w:val="24"/>
      <w:szCs w:val="24"/>
    </w:rPr>
  </w:style>
  <w:style w:type="table" w:styleId="TableGrid">
    <w:name w:val="Table Grid"/>
    <w:basedOn w:val="TableNormal"/>
    <w:uiPriority w:val="39"/>
    <w:rsid w:val="0014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97B78"/>
    <w:rPr>
      <w:sz w:val="16"/>
      <w:szCs w:val="16"/>
    </w:rPr>
  </w:style>
  <w:style w:type="paragraph" w:styleId="CommentText">
    <w:name w:val="annotation text"/>
    <w:basedOn w:val="Normal"/>
    <w:link w:val="CommentTextChar"/>
    <w:uiPriority w:val="99"/>
    <w:unhideWhenUsed/>
    <w:rsid w:val="00397B78"/>
    <w:pPr>
      <w:spacing w:line="240" w:lineRule="auto"/>
    </w:pPr>
    <w:rPr>
      <w:sz w:val="20"/>
      <w:szCs w:val="20"/>
    </w:rPr>
  </w:style>
  <w:style w:type="character" w:customStyle="1" w:styleId="CommentTextChar">
    <w:name w:val="Comment Text Char"/>
    <w:link w:val="CommentText"/>
    <w:uiPriority w:val="99"/>
    <w:rsid w:val="00397B78"/>
    <w:rPr>
      <w:sz w:val="20"/>
      <w:szCs w:val="20"/>
    </w:rPr>
  </w:style>
  <w:style w:type="paragraph" w:styleId="CommentSubject">
    <w:name w:val="annotation subject"/>
    <w:basedOn w:val="CommentText"/>
    <w:next w:val="CommentText"/>
    <w:link w:val="CommentSubjectChar"/>
    <w:uiPriority w:val="99"/>
    <w:semiHidden/>
    <w:unhideWhenUsed/>
    <w:rsid w:val="00397B78"/>
    <w:rPr>
      <w:b/>
      <w:bCs/>
    </w:rPr>
  </w:style>
  <w:style w:type="character" w:customStyle="1" w:styleId="CommentSubjectChar">
    <w:name w:val="Comment Subject Char"/>
    <w:link w:val="CommentSubject"/>
    <w:uiPriority w:val="99"/>
    <w:semiHidden/>
    <w:rsid w:val="00397B78"/>
    <w:rPr>
      <w:b/>
      <w:bCs/>
      <w:sz w:val="20"/>
      <w:szCs w:val="20"/>
    </w:rPr>
  </w:style>
  <w:style w:type="paragraph" w:styleId="BalloonText">
    <w:name w:val="Balloon Text"/>
    <w:basedOn w:val="Normal"/>
    <w:link w:val="BalloonTextChar"/>
    <w:uiPriority w:val="99"/>
    <w:semiHidden/>
    <w:unhideWhenUsed/>
    <w:rsid w:val="00397B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7B78"/>
    <w:rPr>
      <w:rFonts w:ascii="Segoe UI" w:hAnsi="Segoe UI" w:cs="Segoe UI"/>
      <w:sz w:val="18"/>
      <w:szCs w:val="18"/>
    </w:rPr>
  </w:style>
  <w:style w:type="paragraph" w:styleId="Caption">
    <w:name w:val="caption"/>
    <w:basedOn w:val="Normal"/>
    <w:next w:val="Normal"/>
    <w:uiPriority w:val="35"/>
    <w:unhideWhenUsed/>
    <w:qFormat/>
    <w:rsid w:val="00053CB9"/>
    <w:pPr>
      <w:spacing w:after="200" w:line="240" w:lineRule="auto"/>
    </w:pPr>
    <w:rPr>
      <w:b/>
      <w:i/>
      <w:iCs/>
      <w:color w:val="44546A"/>
      <w:szCs w:val="18"/>
    </w:rPr>
  </w:style>
  <w:style w:type="paragraph" w:styleId="NoSpacing">
    <w:name w:val="No Spacing"/>
    <w:uiPriority w:val="1"/>
    <w:qFormat/>
    <w:rsid w:val="00B220F3"/>
    <w:rPr>
      <w:sz w:val="22"/>
      <w:szCs w:val="22"/>
      <w:lang w:eastAsia="en-US"/>
    </w:rPr>
  </w:style>
  <w:style w:type="paragraph" w:styleId="Revision">
    <w:name w:val="Revision"/>
    <w:hidden/>
    <w:uiPriority w:val="99"/>
    <w:semiHidden/>
    <w:rsid w:val="00F91E07"/>
    <w:rPr>
      <w:sz w:val="22"/>
      <w:szCs w:val="22"/>
      <w:lang w:eastAsia="en-US"/>
    </w:rPr>
  </w:style>
  <w:style w:type="character" w:customStyle="1" w:styleId="Heading4Char">
    <w:name w:val="Heading 4 Char"/>
    <w:link w:val="Heading4"/>
    <w:uiPriority w:val="9"/>
    <w:rsid w:val="000C799A"/>
    <w:rPr>
      <w:rFonts w:ascii="Calibri Light" w:eastAsia="MS Gothic" w:hAnsi="Calibri Light" w:cs="Times New Roman"/>
      <w:b/>
      <w:bCs/>
      <w:i/>
      <w:iCs/>
      <w:noProof/>
      <w:color w:val="5B9BD5"/>
    </w:rPr>
  </w:style>
  <w:style w:type="character" w:styleId="PlaceholderText">
    <w:name w:val="Placeholder Text"/>
    <w:uiPriority w:val="99"/>
    <w:semiHidden/>
    <w:rsid w:val="004E414B"/>
    <w:rPr>
      <w:color w:val="808080"/>
    </w:rPr>
  </w:style>
  <w:style w:type="paragraph" w:styleId="ListParagraph">
    <w:name w:val="List Paragraph"/>
    <w:basedOn w:val="Normal"/>
    <w:uiPriority w:val="34"/>
    <w:qFormat/>
    <w:rsid w:val="00F807BD"/>
    <w:pPr>
      <w:ind w:left="720"/>
      <w:contextualSpacing/>
    </w:pPr>
  </w:style>
  <w:style w:type="character" w:styleId="Hyperlink">
    <w:name w:val="Hyperlink"/>
    <w:uiPriority w:val="99"/>
    <w:unhideWhenUsed/>
    <w:rsid w:val="00AF489C"/>
    <w:rPr>
      <w:color w:val="0563C1"/>
      <w:u w:val="single"/>
    </w:rPr>
  </w:style>
  <w:style w:type="character" w:styleId="FollowedHyperlink">
    <w:name w:val="FollowedHyperlink"/>
    <w:uiPriority w:val="99"/>
    <w:semiHidden/>
    <w:unhideWhenUsed/>
    <w:rsid w:val="00B50317"/>
    <w:rPr>
      <w:color w:val="954F72"/>
      <w:u w:val="single"/>
    </w:rPr>
  </w:style>
  <w:style w:type="paragraph" w:styleId="Header">
    <w:name w:val="header"/>
    <w:basedOn w:val="Normal"/>
    <w:link w:val="HeaderChar"/>
    <w:uiPriority w:val="99"/>
    <w:unhideWhenUsed/>
    <w:rsid w:val="00A368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899"/>
  </w:style>
  <w:style w:type="paragraph" w:styleId="Footer">
    <w:name w:val="footer"/>
    <w:basedOn w:val="Normal"/>
    <w:link w:val="FooterChar"/>
    <w:uiPriority w:val="99"/>
    <w:unhideWhenUsed/>
    <w:rsid w:val="00A368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899"/>
  </w:style>
  <w:style w:type="table" w:customStyle="1" w:styleId="TableGrid1">
    <w:name w:val="Table Grid1"/>
    <w:basedOn w:val="TableNormal"/>
    <w:next w:val="TableGrid"/>
    <w:uiPriority w:val="39"/>
    <w:rsid w:val="00326A9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D2E"/>
    <w:pPr>
      <w:spacing w:before="120" w:after="120" w:line="259" w:lineRule="auto"/>
    </w:pPr>
    <w:rPr>
      <w:sz w:val="22"/>
      <w:szCs w:val="22"/>
      <w:lang w:eastAsia="en-US"/>
    </w:rPr>
  </w:style>
  <w:style w:type="paragraph" w:styleId="Heading1">
    <w:name w:val="heading 1"/>
    <w:basedOn w:val="Normal"/>
    <w:next w:val="Normal"/>
    <w:link w:val="Heading1Char"/>
    <w:uiPriority w:val="9"/>
    <w:qFormat/>
    <w:rsid w:val="000C799A"/>
    <w:pPr>
      <w:keepNext/>
      <w:keepLines/>
      <w:spacing w:before="240"/>
      <w:outlineLvl w:val="0"/>
    </w:pPr>
    <w:rPr>
      <w:rFonts w:ascii="Calibri Light" w:eastAsia="MS Gothic" w:hAnsi="Calibri Light"/>
      <w:b/>
      <w:color w:val="2E74B5"/>
      <w:sz w:val="32"/>
      <w:szCs w:val="32"/>
    </w:rPr>
  </w:style>
  <w:style w:type="paragraph" w:styleId="Heading2">
    <w:name w:val="heading 2"/>
    <w:basedOn w:val="Normal"/>
    <w:next w:val="Normal"/>
    <w:link w:val="Heading2Char"/>
    <w:uiPriority w:val="9"/>
    <w:unhideWhenUsed/>
    <w:qFormat/>
    <w:rsid w:val="000C799A"/>
    <w:pPr>
      <w:keepNext/>
      <w:keepLines/>
      <w:outlineLvl w:val="1"/>
    </w:pPr>
    <w:rPr>
      <w:rFonts w:ascii="Calibri Light" w:eastAsia="MS Gothic" w:hAnsi="Calibri Light"/>
      <w:b/>
      <w:color w:val="2E74B5"/>
      <w:sz w:val="26"/>
      <w:szCs w:val="26"/>
    </w:rPr>
  </w:style>
  <w:style w:type="paragraph" w:styleId="Heading3">
    <w:name w:val="heading 3"/>
    <w:basedOn w:val="Normal"/>
    <w:next w:val="Normal"/>
    <w:link w:val="Heading3Char"/>
    <w:uiPriority w:val="9"/>
    <w:unhideWhenUsed/>
    <w:qFormat/>
    <w:rsid w:val="009E76F3"/>
    <w:pPr>
      <w:keepNext/>
      <w:keepLines/>
      <w:spacing w:before="40" w:after="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0C799A"/>
    <w:pPr>
      <w:keepNext/>
      <w:keepLines/>
      <w:outlineLvl w:val="3"/>
    </w:pPr>
    <w:rPr>
      <w:rFonts w:ascii="Calibri Light" w:eastAsia="MS Gothic" w:hAnsi="Calibri Light"/>
      <w:b/>
      <w:bCs/>
      <w:i/>
      <w:iCs/>
      <w:noProof/>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F3"/>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9E76F3"/>
    <w:rPr>
      <w:rFonts w:ascii="Calibri Light" w:eastAsia="MS Gothic" w:hAnsi="Calibri Light" w:cs="Times New Roman"/>
      <w:spacing w:val="-10"/>
      <w:kern w:val="28"/>
      <w:sz w:val="56"/>
      <w:szCs w:val="56"/>
    </w:rPr>
  </w:style>
  <w:style w:type="character" w:customStyle="1" w:styleId="Heading1Char">
    <w:name w:val="Heading 1 Char"/>
    <w:link w:val="Heading1"/>
    <w:uiPriority w:val="9"/>
    <w:rsid w:val="000C799A"/>
    <w:rPr>
      <w:rFonts w:ascii="Calibri Light" w:eastAsia="MS Gothic" w:hAnsi="Calibri Light" w:cs="Times New Roman"/>
      <w:b/>
      <w:color w:val="2E74B5"/>
      <w:sz w:val="32"/>
      <w:szCs w:val="32"/>
    </w:rPr>
  </w:style>
  <w:style w:type="character" w:customStyle="1" w:styleId="Heading2Char">
    <w:name w:val="Heading 2 Char"/>
    <w:link w:val="Heading2"/>
    <w:uiPriority w:val="9"/>
    <w:rsid w:val="000C799A"/>
    <w:rPr>
      <w:rFonts w:ascii="Calibri Light" w:eastAsia="MS Gothic" w:hAnsi="Calibri Light" w:cs="Times New Roman"/>
      <w:b/>
      <w:color w:val="2E74B5"/>
      <w:sz w:val="26"/>
      <w:szCs w:val="26"/>
    </w:rPr>
  </w:style>
  <w:style w:type="character" w:customStyle="1" w:styleId="Heading3Char">
    <w:name w:val="Heading 3 Char"/>
    <w:link w:val="Heading3"/>
    <w:uiPriority w:val="9"/>
    <w:rsid w:val="009E76F3"/>
    <w:rPr>
      <w:rFonts w:ascii="Calibri Light" w:eastAsia="MS Gothic" w:hAnsi="Calibri Light" w:cs="Times New Roman"/>
      <w:color w:val="1F4D78"/>
      <w:sz w:val="24"/>
      <w:szCs w:val="24"/>
    </w:rPr>
  </w:style>
  <w:style w:type="table" w:styleId="TableGrid">
    <w:name w:val="Table Grid"/>
    <w:basedOn w:val="TableNormal"/>
    <w:uiPriority w:val="39"/>
    <w:rsid w:val="0014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97B78"/>
    <w:rPr>
      <w:sz w:val="16"/>
      <w:szCs w:val="16"/>
    </w:rPr>
  </w:style>
  <w:style w:type="paragraph" w:styleId="CommentText">
    <w:name w:val="annotation text"/>
    <w:basedOn w:val="Normal"/>
    <w:link w:val="CommentTextChar"/>
    <w:uiPriority w:val="99"/>
    <w:unhideWhenUsed/>
    <w:rsid w:val="00397B78"/>
    <w:pPr>
      <w:spacing w:line="240" w:lineRule="auto"/>
    </w:pPr>
    <w:rPr>
      <w:sz w:val="20"/>
      <w:szCs w:val="20"/>
    </w:rPr>
  </w:style>
  <w:style w:type="character" w:customStyle="1" w:styleId="CommentTextChar">
    <w:name w:val="Comment Text Char"/>
    <w:link w:val="CommentText"/>
    <w:uiPriority w:val="99"/>
    <w:rsid w:val="00397B78"/>
    <w:rPr>
      <w:sz w:val="20"/>
      <w:szCs w:val="20"/>
    </w:rPr>
  </w:style>
  <w:style w:type="paragraph" w:styleId="CommentSubject">
    <w:name w:val="annotation subject"/>
    <w:basedOn w:val="CommentText"/>
    <w:next w:val="CommentText"/>
    <w:link w:val="CommentSubjectChar"/>
    <w:uiPriority w:val="99"/>
    <w:semiHidden/>
    <w:unhideWhenUsed/>
    <w:rsid w:val="00397B78"/>
    <w:rPr>
      <w:b/>
      <w:bCs/>
    </w:rPr>
  </w:style>
  <w:style w:type="character" w:customStyle="1" w:styleId="CommentSubjectChar">
    <w:name w:val="Comment Subject Char"/>
    <w:link w:val="CommentSubject"/>
    <w:uiPriority w:val="99"/>
    <w:semiHidden/>
    <w:rsid w:val="00397B78"/>
    <w:rPr>
      <w:b/>
      <w:bCs/>
      <w:sz w:val="20"/>
      <w:szCs w:val="20"/>
    </w:rPr>
  </w:style>
  <w:style w:type="paragraph" w:styleId="BalloonText">
    <w:name w:val="Balloon Text"/>
    <w:basedOn w:val="Normal"/>
    <w:link w:val="BalloonTextChar"/>
    <w:uiPriority w:val="99"/>
    <w:semiHidden/>
    <w:unhideWhenUsed/>
    <w:rsid w:val="00397B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7B78"/>
    <w:rPr>
      <w:rFonts w:ascii="Segoe UI" w:hAnsi="Segoe UI" w:cs="Segoe UI"/>
      <w:sz w:val="18"/>
      <w:szCs w:val="18"/>
    </w:rPr>
  </w:style>
  <w:style w:type="paragraph" w:styleId="Caption">
    <w:name w:val="caption"/>
    <w:basedOn w:val="Normal"/>
    <w:next w:val="Normal"/>
    <w:uiPriority w:val="35"/>
    <w:unhideWhenUsed/>
    <w:qFormat/>
    <w:rsid w:val="00053CB9"/>
    <w:pPr>
      <w:spacing w:after="200" w:line="240" w:lineRule="auto"/>
    </w:pPr>
    <w:rPr>
      <w:b/>
      <w:i/>
      <w:iCs/>
      <w:color w:val="44546A"/>
      <w:szCs w:val="18"/>
    </w:rPr>
  </w:style>
  <w:style w:type="paragraph" w:styleId="NoSpacing">
    <w:name w:val="No Spacing"/>
    <w:uiPriority w:val="1"/>
    <w:qFormat/>
    <w:rsid w:val="00B220F3"/>
    <w:rPr>
      <w:sz w:val="22"/>
      <w:szCs w:val="22"/>
      <w:lang w:eastAsia="en-US"/>
    </w:rPr>
  </w:style>
  <w:style w:type="paragraph" w:styleId="Revision">
    <w:name w:val="Revision"/>
    <w:hidden/>
    <w:uiPriority w:val="99"/>
    <w:semiHidden/>
    <w:rsid w:val="00F91E07"/>
    <w:rPr>
      <w:sz w:val="22"/>
      <w:szCs w:val="22"/>
      <w:lang w:eastAsia="en-US"/>
    </w:rPr>
  </w:style>
  <w:style w:type="character" w:customStyle="1" w:styleId="Heading4Char">
    <w:name w:val="Heading 4 Char"/>
    <w:link w:val="Heading4"/>
    <w:uiPriority w:val="9"/>
    <w:rsid w:val="000C799A"/>
    <w:rPr>
      <w:rFonts w:ascii="Calibri Light" w:eastAsia="MS Gothic" w:hAnsi="Calibri Light" w:cs="Times New Roman"/>
      <w:b/>
      <w:bCs/>
      <w:i/>
      <w:iCs/>
      <w:noProof/>
      <w:color w:val="5B9BD5"/>
    </w:rPr>
  </w:style>
  <w:style w:type="character" w:styleId="PlaceholderText">
    <w:name w:val="Placeholder Text"/>
    <w:uiPriority w:val="99"/>
    <w:semiHidden/>
    <w:rsid w:val="004E414B"/>
    <w:rPr>
      <w:color w:val="808080"/>
    </w:rPr>
  </w:style>
  <w:style w:type="paragraph" w:styleId="ListParagraph">
    <w:name w:val="List Paragraph"/>
    <w:basedOn w:val="Normal"/>
    <w:uiPriority w:val="34"/>
    <w:qFormat/>
    <w:rsid w:val="00F807BD"/>
    <w:pPr>
      <w:ind w:left="720"/>
      <w:contextualSpacing/>
    </w:pPr>
  </w:style>
  <w:style w:type="character" w:styleId="Hyperlink">
    <w:name w:val="Hyperlink"/>
    <w:uiPriority w:val="99"/>
    <w:unhideWhenUsed/>
    <w:rsid w:val="00AF489C"/>
    <w:rPr>
      <w:color w:val="0563C1"/>
      <w:u w:val="single"/>
    </w:rPr>
  </w:style>
  <w:style w:type="character" w:styleId="FollowedHyperlink">
    <w:name w:val="FollowedHyperlink"/>
    <w:uiPriority w:val="99"/>
    <w:semiHidden/>
    <w:unhideWhenUsed/>
    <w:rsid w:val="00B50317"/>
    <w:rPr>
      <w:color w:val="954F72"/>
      <w:u w:val="single"/>
    </w:rPr>
  </w:style>
  <w:style w:type="paragraph" w:styleId="Header">
    <w:name w:val="header"/>
    <w:basedOn w:val="Normal"/>
    <w:link w:val="HeaderChar"/>
    <w:uiPriority w:val="99"/>
    <w:unhideWhenUsed/>
    <w:rsid w:val="00A368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899"/>
  </w:style>
  <w:style w:type="paragraph" w:styleId="Footer">
    <w:name w:val="footer"/>
    <w:basedOn w:val="Normal"/>
    <w:link w:val="FooterChar"/>
    <w:uiPriority w:val="99"/>
    <w:unhideWhenUsed/>
    <w:rsid w:val="00A368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899"/>
  </w:style>
  <w:style w:type="table" w:customStyle="1" w:styleId="TableGrid1">
    <w:name w:val="Table Grid1"/>
    <w:basedOn w:val="TableNormal"/>
    <w:next w:val="TableGrid"/>
    <w:uiPriority w:val="39"/>
    <w:rsid w:val="00326A9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1918">
      <w:bodyDiv w:val="1"/>
      <w:marLeft w:val="0"/>
      <w:marRight w:val="0"/>
      <w:marTop w:val="0"/>
      <w:marBottom w:val="0"/>
      <w:divBdr>
        <w:top w:val="none" w:sz="0" w:space="0" w:color="auto"/>
        <w:left w:val="none" w:sz="0" w:space="0" w:color="auto"/>
        <w:bottom w:val="none" w:sz="0" w:space="0" w:color="auto"/>
        <w:right w:val="none" w:sz="0" w:space="0" w:color="auto"/>
      </w:divBdr>
    </w:div>
    <w:div w:id="102964329">
      <w:bodyDiv w:val="1"/>
      <w:marLeft w:val="0"/>
      <w:marRight w:val="0"/>
      <w:marTop w:val="0"/>
      <w:marBottom w:val="0"/>
      <w:divBdr>
        <w:top w:val="none" w:sz="0" w:space="0" w:color="auto"/>
        <w:left w:val="none" w:sz="0" w:space="0" w:color="auto"/>
        <w:bottom w:val="none" w:sz="0" w:space="0" w:color="auto"/>
        <w:right w:val="none" w:sz="0" w:space="0" w:color="auto"/>
      </w:divBdr>
    </w:div>
    <w:div w:id="138811337">
      <w:bodyDiv w:val="1"/>
      <w:marLeft w:val="0"/>
      <w:marRight w:val="0"/>
      <w:marTop w:val="0"/>
      <w:marBottom w:val="0"/>
      <w:divBdr>
        <w:top w:val="none" w:sz="0" w:space="0" w:color="auto"/>
        <w:left w:val="none" w:sz="0" w:space="0" w:color="auto"/>
        <w:bottom w:val="none" w:sz="0" w:space="0" w:color="auto"/>
        <w:right w:val="none" w:sz="0" w:space="0" w:color="auto"/>
      </w:divBdr>
    </w:div>
    <w:div w:id="192545787">
      <w:bodyDiv w:val="1"/>
      <w:marLeft w:val="0"/>
      <w:marRight w:val="0"/>
      <w:marTop w:val="0"/>
      <w:marBottom w:val="0"/>
      <w:divBdr>
        <w:top w:val="none" w:sz="0" w:space="0" w:color="auto"/>
        <w:left w:val="none" w:sz="0" w:space="0" w:color="auto"/>
        <w:bottom w:val="none" w:sz="0" w:space="0" w:color="auto"/>
        <w:right w:val="none" w:sz="0" w:space="0" w:color="auto"/>
      </w:divBdr>
    </w:div>
    <w:div w:id="306671261">
      <w:bodyDiv w:val="1"/>
      <w:marLeft w:val="0"/>
      <w:marRight w:val="0"/>
      <w:marTop w:val="0"/>
      <w:marBottom w:val="0"/>
      <w:divBdr>
        <w:top w:val="none" w:sz="0" w:space="0" w:color="auto"/>
        <w:left w:val="none" w:sz="0" w:space="0" w:color="auto"/>
        <w:bottom w:val="none" w:sz="0" w:space="0" w:color="auto"/>
        <w:right w:val="none" w:sz="0" w:space="0" w:color="auto"/>
      </w:divBdr>
    </w:div>
    <w:div w:id="324821275">
      <w:bodyDiv w:val="1"/>
      <w:marLeft w:val="0"/>
      <w:marRight w:val="0"/>
      <w:marTop w:val="0"/>
      <w:marBottom w:val="0"/>
      <w:divBdr>
        <w:top w:val="none" w:sz="0" w:space="0" w:color="auto"/>
        <w:left w:val="none" w:sz="0" w:space="0" w:color="auto"/>
        <w:bottom w:val="none" w:sz="0" w:space="0" w:color="auto"/>
        <w:right w:val="none" w:sz="0" w:space="0" w:color="auto"/>
      </w:divBdr>
    </w:div>
    <w:div w:id="335116535">
      <w:bodyDiv w:val="1"/>
      <w:marLeft w:val="0"/>
      <w:marRight w:val="0"/>
      <w:marTop w:val="0"/>
      <w:marBottom w:val="0"/>
      <w:divBdr>
        <w:top w:val="none" w:sz="0" w:space="0" w:color="auto"/>
        <w:left w:val="none" w:sz="0" w:space="0" w:color="auto"/>
        <w:bottom w:val="none" w:sz="0" w:space="0" w:color="auto"/>
        <w:right w:val="none" w:sz="0" w:space="0" w:color="auto"/>
      </w:divBdr>
    </w:div>
    <w:div w:id="368531914">
      <w:bodyDiv w:val="1"/>
      <w:marLeft w:val="0"/>
      <w:marRight w:val="0"/>
      <w:marTop w:val="0"/>
      <w:marBottom w:val="0"/>
      <w:divBdr>
        <w:top w:val="none" w:sz="0" w:space="0" w:color="auto"/>
        <w:left w:val="none" w:sz="0" w:space="0" w:color="auto"/>
        <w:bottom w:val="none" w:sz="0" w:space="0" w:color="auto"/>
        <w:right w:val="none" w:sz="0" w:space="0" w:color="auto"/>
      </w:divBdr>
    </w:div>
    <w:div w:id="490023041">
      <w:bodyDiv w:val="1"/>
      <w:marLeft w:val="0"/>
      <w:marRight w:val="0"/>
      <w:marTop w:val="0"/>
      <w:marBottom w:val="0"/>
      <w:divBdr>
        <w:top w:val="none" w:sz="0" w:space="0" w:color="auto"/>
        <w:left w:val="none" w:sz="0" w:space="0" w:color="auto"/>
        <w:bottom w:val="none" w:sz="0" w:space="0" w:color="auto"/>
        <w:right w:val="none" w:sz="0" w:space="0" w:color="auto"/>
      </w:divBdr>
    </w:div>
    <w:div w:id="504367725">
      <w:bodyDiv w:val="1"/>
      <w:marLeft w:val="0"/>
      <w:marRight w:val="0"/>
      <w:marTop w:val="0"/>
      <w:marBottom w:val="0"/>
      <w:divBdr>
        <w:top w:val="none" w:sz="0" w:space="0" w:color="auto"/>
        <w:left w:val="none" w:sz="0" w:space="0" w:color="auto"/>
        <w:bottom w:val="none" w:sz="0" w:space="0" w:color="auto"/>
        <w:right w:val="none" w:sz="0" w:space="0" w:color="auto"/>
      </w:divBdr>
    </w:div>
    <w:div w:id="505947440">
      <w:bodyDiv w:val="1"/>
      <w:marLeft w:val="0"/>
      <w:marRight w:val="0"/>
      <w:marTop w:val="0"/>
      <w:marBottom w:val="0"/>
      <w:divBdr>
        <w:top w:val="none" w:sz="0" w:space="0" w:color="auto"/>
        <w:left w:val="none" w:sz="0" w:space="0" w:color="auto"/>
        <w:bottom w:val="none" w:sz="0" w:space="0" w:color="auto"/>
        <w:right w:val="none" w:sz="0" w:space="0" w:color="auto"/>
      </w:divBdr>
    </w:div>
    <w:div w:id="657809596">
      <w:bodyDiv w:val="1"/>
      <w:marLeft w:val="0"/>
      <w:marRight w:val="0"/>
      <w:marTop w:val="0"/>
      <w:marBottom w:val="0"/>
      <w:divBdr>
        <w:top w:val="none" w:sz="0" w:space="0" w:color="auto"/>
        <w:left w:val="none" w:sz="0" w:space="0" w:color="auto"/>
        <w:bottom w:val="none" w:sz="0" w:space="0" w:color="auto"/>
        <w:right w:val="none" w:sz="0" w:space="0" w:color="auto"/>
      </w:divBdr>
    </w:div>
    <w:div w:id="698552983">
      <w:bodyDiv w:val="1"/>
      <w:marLeft w:val="0"/>
      <w:marRight w:val="0"/>
      <w:marTop w:val="0"/>
      <w:marBottom w:val="0"/>
      <w:divBdr>
        <w:top w:val="none" w:sz="0" w:space="0" w:color="auto"/>
        <w:left w:val="none" w:sz="0" w:space="0" w:color="auto"/>
        <w:bottom w:val="none" w:sz="0" w:space="0" w:color="auto"/>
        <w:right w:val="none" w:sz="0" w:space="0" w:color="auto"/>
      </w:divBdr>
    </w:div>
    <w:div w:id="721293107">
      <w:bodyDiv w:val="1"/>
      <w:marLeft w:val="0"/>
      <w:marRight w:val="0"/>
      <w:marTop w:val="0"/>
      <w:marBottom w:val="0"/>
      <w:divBdr>
        <w:top w:val="none" w:sz="0" w:space="0" w:color="auto"/>
        <w:left w:val="none" w:sz="0" w:space="0" w:color="auto"/>
        <w:bottom w:val="none" w:sz="0" w:space="0" w:color="auto"/>
        <w:right w:val="none" w:sz="0" w:space="0" w:color="auto"/>
      </w:divBdr>
    </w:div>
    <w:div w:id="781850195">
      <w:bodyDiv w:val="1"/>
      <w:marLeft w:val="0"/>
      <w:marRight w:val="0"/>
      <w:marTop w:val="0"/>
      <w:marBottom w:val="0"/>
      <w:divBdr>
        <w:top w:val="none" w:sz="0" w:space="0" w:color="auto"/>
        <w:left w:val="none" w:sz="0" w:space="0" w:color="auto"/>
        <w:bottom w:val="none" w:sz="0" w:space="0" w:color="auto"/>
        <w:right w:val="none" w:sz="0" w:space="0" w:color="auto"/>
      </w:divBdr>
    </w:div>
    <w:div w:id="800417060">
      <w:bodyDiv w:val="1"/>
      <w:marLeft w:val="0"/>
      <w:marRight w:val="0"/>
      <w:marTop w:val="0"/>
      <w:marBottom w:val="0"/>
      <w:divBdr>
        <w:top w:val="none" w:sz="0" w:space="0" w:color="auto"/>
        <w:left w:val="none" w:sz="0" w:space="0" w:color="auto"/>
        <w:bottom w:val="none" w:sz="0" w:space="0" w:color="auto"/>
        <w:right w:val="none" w:sz="0" w:space="0" w:color="auto"/>
      </w:divBdr>
    </w:div>
    <w:div w:id="819150813">
      <w:bodyDiv w:val="1"/>
      <w:marLeft w:val="0"/>
      <w:marRight w:val="0"/>
      <w:marTop w:val="0"/>
      <w:marBottom w:val="0"/>
      <w:divBdr>
        <w:top w:val="none" w:sz="0" w:space="0" w:color="auto"/>
        <w:left w:val="none" w:sz="0" w:space="0" w:color="auto"/>
        <w:bottom w:val="none" w:sz="0" w:space="0" w:color="auto"/>
        <w:right w:val="none" w:sz="0" w:space="0" w:color="auto"/>
      </w:divBdr>
    </w:div>
    <w:div w:id="841041439">
      <w:bodyDiv w:val="1"/>
      <w:marLeft w:val="0"/>
      <w:marRight w:val="0"/>
      <w:marTop w:val="0"/>
      <w:marBottom w:val="0"/>
      <w:divBdr>
        <w:top w:val="none" w:sz="0" w:space="0" w:color="auto"/>
        <w:left w:val="none" w:sz="0" w:space="0" w:color="auto"/>
        <w:bottom w:val="none" w:sz="0" w:space="0" w:color="auto"/>
        <w:right w:val="none" w:sz="0" w:space="0" w:color="auto"/>
      </w:divBdr>
    </w:div>
    <w:div w:id="845637711">
      <w:bodyDiv w:val="1"/>
      <w:marLeft w:val="0"/>
      <w:marRight w:val="0"/>
      <w:marTop w:val="0"/>
      <w:marBottom w:val="0"/>
      <w:divBdr>
        <w:top w:val="none" w:sz="0" w:space="0" w:color="auto"/>
        <w:left w:val="none" w:sz="0" w:space="0" w:color="auto"/>
        <w:bottom w:val="none" w:sz="0" w:space="0" w:color="auto"/>
        <w:right w:val="none" w:sz="0" w:space="0" w:color="auto"/>
      </w:divBdr>
    </w:div>
    <w:div w:id="852035032">
      <w:bodyDiv w:val="1"/>
      <w:marLeft w:val="0"/>
      <w:marRight w:val="0"/>
      <w:marTop w:val="0"/>
      <w:marBottom w:val="0"/>
      <w:divBdr>
        <w:top w:val="none" w:sz="0" w:space="0" w:color="auto"/>
        <w:left w:val="none" w:sz="0" w:space="0" w:color="auto"/>
        <w:bottom w:val="none" w:sz="0" w:space="0" w:color="auto"/>
        <w:right w:val="none" w:sz="0" w:space="0" w:color="auto"/>
      </w:divBdr>
    </w:div>
    <w:div w:id="896165943">
      <w:bodyDiv w:val="1"/>
      <w:marLeft w:val="0"/>
      <w:marRight w:val="0"/>
      <w:marTop w:val="0"/>
      <w:marBottom w:val="0"/>
      <w:divBdr>
        <w:top w:val="none" w:sz="0" w:space="0" w:color="auto"/>
        <w:left w:val="none" w:sz="0" w:space="0" w:color="auto"/>
        <w:bottom w:val="none" w:sz="0" w:space="0" w:color="auto"/>
        <w:right w:val="none" w:sz="0" w:space="0" w:color="auto"/>
      </w:divBdr>
    </w:div>
    <w:div w:id="963969522">
      <w:bodyDiv w:val="1"/>
      <w:marLeft w:val="0"/>
      <w:marRight w:val="0"/>
      <w:marTop w:val="0"/>
      <w:marBottom w:val="0"/>
      <w:divBdr>
        <w:top w:val="none" w:sz="0" w:space="0" w:color="auto"/>
        <w:left w:val="none" w:sz="0" w:space="0" w:color="auto"/>
        <w:bottom w:val="none" w:sz="0" w:space="0" w:color="auto"/>
        <w:right w:val="none" w:sz="0" w:space="0" w:color="auto"/>
      </w:divBdr>
    </w:div>
    <w:div w:id="1036276692">
      <w:bodyDiv w:val="1"/>
      <w:marLeft w:val="0"/>
      <w:marRight w:val="0"/>
      <w:marTop w:val="0"/>
      <w:marBottom w:val="0"/>
      <w:divBdr>
        <w:top w:val="none" w:sz="0" w:space="0" w:color="auto"/>
        <w:left w:val="none" w:sz="0" w:space="0" w:color="auto"/>
        <w:bottom w:val="none" w:sz="0" w:space="0" w:color="auto"/>
        <w:right w:val="none" w:sz="0" w:space="0" w:color="auto"/>
      </w:divBdr>
    </w:div>
    <w:div w:id="1051345522">
      <w:bodyDiv w:val="1"/>
      <w:marLeft w:val="0"/>
      <w:marRight w:val="0"/>
      <w:marTop w:val="0"/>
      <w:marBottom w:val="0"/>
      <w:divBdr>
        <w:top w:val="none" w:sz="0" w:space="0" w:color="auto"/>
        <w:left w:val="none" w:sz="0" w:space="0" w:color="auto"/>
        <w:bottom w:val="none" w:sz="0" w:space="0" w:color="auto"/>
        <w:right w:val="none" w:sz="0" w:space="0" w:color="auto"/>
      </w:divBdr>
    </w:div>
    <w:div w:id="1081754835">
      <w:bodyDiv w:val="1"/>
      <w:marLeft w:val="0"/>
      <w:marRight w:val="0"/>
      <w:marTop w:val="0"/>
      <w:marBottom w:val="0"/>
      <w:divBdr>
        <w:top w:val="none" w:sz="0" w:space="0" w:color="auto"/>
        <w:left w:val="none" w:sz="0" w:space="0" w:color="auto"/>
        <w:bottom w:val="none" w:sz="0" w:space="0" w:color="auto"/>
        <w:right w:val="none" w:sz="0" w:space="0" w:color="auto"/>
      </w:divBdr>
    </w:div>
    <w:div w:id="1154613772">
      <w:bodyDiv w:val="1"/>
      <w:marLeft w:val="0"/>
      <w:marRight w:val="0"/>
      <w:marTop w:val="0"/>
      <w:marBottom w:val="0"/>
      <w:divBdr>
        <w:top w:val="none" w:sz="0" w:space="0" w:color="auto"/>
        <w:left w:val="none" w:sz="0" w:space="0" w:color="auto"/>
        <w:bottom w:val="none" w:sz="0" w:space="0" w:color="auto"/>
        <w:right w:val="none" w:sz="0" w:space="0" w:color="auto"/>
      </w:divBdr>
    </w:div>
    <w:div w:id="1178806511">
      <w:bodyDiv w:val="1"/>
      <w:marLeft w:val="0"/>
      <w:marRight w:val="0"/>
      <w:marTop w:val="0"/>
      <w:marBottom w:val="0"/>
      <w:divBdr>
        <w:top w:val="none" w:sz="0" w:space="0" w:color="auto"/>
        <w:left w:val="none" w:sz="0" w:space="0" w:color="auto"/>
        <w:bottom w:val="none" w:sz="0" w:space="0" w:color="auto"/>
        <w:right w:val="none" w:sz="0" w:space="0" w:color="auto"/>
      </w:divBdr>
    </w:div>
    <w:div w:id="1192302925">
      <w:bodyDiv w:val="1"/>
      <w:marLeft w:val="0"/>
      <w:marRight w:val="0"/>
      <w:marTop w:val="0"/>
      <w:marBottom w:val="0"/>
      <w:divBdr>
        <w:top w:val="none" w:sz="0" w:space="0" w:color="auto"/>
        <w:left w:val="none" w:sz="0" w:space="0" w:color="auto"/>
        <w:bottom w:val="none" w:sz="0" w:space="0" w:color="auto"/>
        <w:right w:val="none" w:sz="0" w:space="0" w:color="auto"/>
      </w:divBdr>
    </w:div>
    <w:div w:id="1242718214">
      <w:bodyDiv w:val="1"/>
      <w:marLeft w:val="0"/>
      <w:marRight w:val="0"/>
      <w:marTop w:val="0"/>
      <w:marBottom w:val="0"/>
      <w:divBdr>
        <w:top w:val="none" w:sz="0" w:space="0" w:color="auto"/>
        <w:left w:val="none" w:sz="0" w:space="0" w:color="auto"/>
        <w:bottom w:val="none" w:sz="0" w:space="0" w:color="auto"/>
        <w:right w:val="none" w:sz="0" w:space="0" w:color="auto"/>
      </w:divBdr>
    </w:div>
    <w:div w:id="1400859106">
      <w:bodyDiv w:val="1"/>
      <w:marLeft w:val="0"/>
      <w:marRight w:val="0"/>
      <w:marTop w:val="0"/>
      <w:marBottom w:val="0"/>
      <w:divBdr>
        <w:top w:val="none" w:sz="0" w:space="0" w:color="auto"/>
        <w:left w:val="none" w:sz="0" w:space="0" w:color="auto"/>
        <w:bottom w:val="none" w:sz="0" w:space="0" w:color="auto"/>
        <w:right w:val="none" w:sz="0" w:space="0" w:color="auto"/>
      </w:divBdr>
    </w:div>
    <w:div w:id="1401246518">
      <w:bodyDiv w:val="1"/>
      <w:marLeft w:val="0"/>
      <w:marRight w:val="0"/>
      <w:marTop w:val="0"/>
      <w:marBottom w:val="0"/>
      <w:divBdr>
        <w:top w:val="none" w:sz="0" w:space="0" w:color="auto"/>
        <w:left w:val="none" w:sz="0" w:space="0" w:color="auto"/>
        <w:bottom w:val="none" w:sz="0" w:space="0" w:color="auto"/>
        <w:right w:val="none" w:sz="0" w:space="0" w:color="auto"/>
      </w:divBdr>
    </w:div>
    <w:div w:id="1410537498">
      <w:bodyDiv w:val="1"/>
      <w:marLeft w:val="0"/>
      <w:marRight w:val="0"/>
      <w:marTop w:val="0"/>
      <w:marBottom w:val="0"/>
      <w:divBdr>
        <w:top w:val="none" w:sz="0" w:space="0" w:color="auto"/>
        <w:left w:val="none" w:sz="0" w:space="0" w:color="auto"/>
        <w:bottom w:val="none" w:sz="0" w:space="0" w:color="auto"/>
        <w:right w:val="none" w:sz="0" w:space="0" w:color="auto"/>
      </w:divBdr>
    </w:div>
    <w:div w:id="1466318183">
      <w:bodyDiv w:val="1"/>
      <w:marLeft w:val="0"/>
      <w:marRight w:val="0"/>
      <w:marTop w:val="0"/>
      <w:marBottom w:val="0"/>
      <w:divBdr>
        <w:top w:val="none" w:sz="0" w:space="0" w:color="auto"/>
        <w:left w:val="none" w:sz="0" w:space="0" w:color="auto"/>
        <w:bottom w:val="none" w:sz="0" w:space="0" w:color="auto"/>
        <w:right w:val="none" w:sz="0" w:space="0" w:color="auto"/>
      </w:divBdr>
    </w:div>
    <w:div w:id="1600068310">
      <w:bodyDiv w:val="1"/>
      <w:marLeft w:val="0"/>
      <w:marRight w:val="0"/>
      <w:marTop w:val="0"/>
      <w:marBottom w:val="0"/>
      <w:divBdr>
        <w:top w:val="none" w:sz="0" w:space="0" w:color="auto"/>
        <w:left w:val="none" w:sz="0" w:space="0" w:color="auto"/>
        <w:bottom w:val="none" w:sz="0" w:space="0" w:color="auto"/>
        <w:right w:val="none" w:sz="0" w:space="0" w:color="auto"/>
      </w:divBdr>
    </w:div>
    <w:div w:id="1667244528">
      <w:bodyDiv w:val="1"/>
      <w:marLeft w:val="0"/>
      <w:marRight w:val="0"/>
      <w:marTop w:val="0"/>
      <w:marBottom w:val="0"/>
      <w:divBdr>
        <w:top w:val="none" w:sz="0" w:space="0" w:color="auto"/>
        <w:left w:val="none" w:sz="0" w:space="0" w:color="auto"/>
        <w:bottom w:val="none" w:sz="0" w:space="0" w:color="auto"/>
        <w:right w:val="none" w:sz="0" w:space="0" w:color="auto"/>
      </w:divBdr>
    </w:div>
    <w:div w:id="1807160221">
      <w:bodyDiv w:val="1"/>
      <w:marLeft w:val="0"/>
      <w:marRight w:val="0"/>
      <w:marTop w:val="0"/>
      <w:marBottom w:val="0"/>
      <w:divBdr>
        <w:top w:val="none" w:sz="0" w:space="0" w:color="auto"/>
        <w:left w:val="none" w:sz="0" w:space="0" w:color="auto"/>
        <w:bottom w:val="none" w:sz="0" w:space="0" w:color="auto"/>
        <w:right w:val="none" w:sz="0" w:space="0" w:color="auto"/>
      </w:divBdr>
    </w:div>
    <w:div w:id="1823541466">
      <w:bodyDiv w:val="1"/>
      <w:marLeft w:val="0"/>
      <w:marRight w:val="0"/>
      <w:marTop w:val="0"/>
      <w:marBottom w:val="0"/>
      <w:divBdr>
        <w:top w:val="none" w:sz="0" w:space="0" w:color="auto"/>
        <w:left w:val="none" w:sz="0" w:space="0" w:color="auto"/>
        <w:bottom w:val="none" w:sz="0" w:space="0" w:color="auto"/>
        <w:right w:val="none" w:sz="0" w:space="0" w:color="auto"/>
      </w:divBdr>
    </w:div>
    <w:div w:id="1860850024">
      <w:bodyDiv w:val="1"/>
      <w:marLeft w:val="0"/>
      <w:marRight w:val="0"/>
      <w:marTop w:val="0"/>
      <w:marBottom w:val="0"/>
      <w:divBdr>
        <w:top w:val="none" w:sz="0" w:space="0" w:color="auto"/>
        <w:left w:val="none" w:sz="0" w:space="0" w:color="auto"/>
        <w:bottom w:val="none" w:sz="0" w:space="0" w:color="auto"/>
        <w:right w:val="none" w:sz="0" w:space="0" w:color="auto"/>
      </w:divBdr>
    </w:div>
    <w:div w:id="1863472074">
      <w:bodyDiv w:val="1"/>
      <w:marLeft w:val="0"/>
      <w:marRight w:val="0"/>
      <w:marTop w:val="0"/>
      <w:marBottom w:val="0"/>
      <w:divBdr>
        <w:top w:val="none" w:sz="0" w:space="0" w:color="auto"/>
        <w:left w:val="none" w:sz="0" w:space="0" w:color="auto"/>
        <w:bottom w:val="none" w:sz="0" w:space="0" w:color="auto"/>
        <w:right w:val="none" w:sz="0" w:space="0" w:color="auto"/>
      </w:divBdr>
    </w:div>
    <w:div w:id="1865630626">
      <w:bodyDiv w:val="1"/>
      <w:marLeft w:val="0"/>
      <w:marRight w:val="0"/>
      <w:marTop w:val="0"/>
      <w:marBottom w:val="0"/>
      <w:divBdr>
        <w:top w:val="none" w:sz="0" w:space="0" w:color="auto"/>
        <w:left w:val="none" w:sz="0" w:space="0" w:color="auto"/>
        <w:bottom w:val="none" w:sz="0" w:space="0" w:color="auto"/>
        <w:right w:val="none" w:sz="0" w:space="0" w:color="auto"/>
      </w:divBdr>
    </w:div>
    <w:div w:id="1869026306">
      <w:bodyDiv w:val="1"/>
      <w:marLeft w:val="0"/>
      <w:marRight w:val="0"/>
      <w:marTop w:val="0"/>
      <w:marBottom w:val="0"/>
      <w:divBdr>
        <w:top w:val="none" w:sz="0" w:space="0" w:color="auto"/>
        <w:left w:val="none" w:sz="0" w:space="0" w:color="auto"/>
        <w:bottom w:val="none" w:sz="0" w:space="0" w:color="auto"/>
        <w:right w:val="none" w:sz="0" w:space="0" w:color="auto"/>
      </w:divBdr>
    </w:div>
    <w:div w:id="1986549651">
      <w:bodyDiv w:val="1"/>
      <w:marLeft w:val="0"/>
      <w:marRight w:val="0"/>
      <w:marTop w:val="0"/>
      <w:marBottom w:val="0"/>
      <w:divBdr>
        <w:top w:val="none" w:sz="0" w:space="0" w:color="auto"/>
        <w:left w:val="none" w:sz="0" w:space="0" w:color="auto"/>
        <w:bottom w:val="none" w:sz="0" w:space="0" w:color="auto"/>
        <w:right w:val="none" w:sz="0" w:space="0" w:color="auto"/>
      </w:divBdr>
    </w:div>
    <w:div w:id="2043360605">
      <w:bodyDiv w:val="1"/>
      <w:marLeft w:val="0"/>
      <w:marRight w:val="0"/>
      <w:marTop w:val="0"/>
      <w:marBottom w:val="0"/>
      <w:divBdr>
        <w:top w:val="none" w:sz="0" w:space="0" w:color="auto"/>
        <w:left w:val="none" w:sz="0" w:space="0" w:color="auto"/>
        <w:bottom w:val="none" w:sz="0" w:space="0" w:color="auto"/>
        <w:right w:val="none" w:sz="0" w:space="0" w:color="auto"/>
      </w:divBdr>
    </w:div>
    <w:div w:id="2045212843">
      <w:bodyDiv w:val="1"/>
      <w:marLeft w:val="0"/>
      <w:marRight w:val="0"/>
      <w:marTop w:val="0"/>
      <w:marBottom w:val="0"/>
      <w:divBdr>
        <w:top w:val="none" w:sz="0" w:space="0" w:color="auto"/>
        <w:left w:val="none" w:sz="0" w:space="0" w:color="auto"/>
        <w:bottom w:val="none" w:sz="0" w:space="0" w:color="auto"/>
        <w:right w:val="none" w:sz="0" w:space="0" w:color="auto"/>
      </w:divBdr>
    </w:div>
    <w:div w:id="2061896221">
      <w:bodyDiv w:val="1"/>
      <w:marLeft w:val="0"/>
      <w:marRight w:val="0"/>
      <w:marTop w:val="0"/>
      <w:marBottom w:val="0"/>
      <w:divBdr>
        <w:top w:val="none" w:sz="0" w:space="0" w:color="auto"/>
        <w:left w:val="none" w:sz="0" w:space="0" w:color="auto"/>
        <w:bottom w:val="none" w:sz="0" w:space="0" w:color="auto"/>
        <w:right w:val="none" w:sz="0" w:space="0" w:color="auto"/>
      </w:divBdr>
    </w:div>
    <w:div w:id="20994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31" Type="http://schemas.microsoft.com/office/2011/relationships/people" Target="people.xml"/><Relationship Id="rId32"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B8051-7A1E-AA40-932A-8130CF81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2537</Words>
  <Characters>14465</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Newcastle upon Tyne Hospitals NHS Foundation Trust</Company>
  <LinksUpToDate>false</LinksUpToDate>
  <CharactersWithSpaces>16969</CharactersWithSpaces>
  <SharedDoc>false</SharedDoc>
  <HLinks>
    <vt:vector size="18" baseType="variant">
      <vt:variant>
        <vt:i4>3735597</vt:i4>
      </vt:variant>
      <vt:variant>
        <vt:i4>36</vt:i4>
      </vt:variant>
      <vt:variant>
        <vt:i4>0</vt:i4>
      </vt:variant>
      <vt:variant>
        <vt:i4>5</vt:i4>
      </vt:variant>
      <vt:variant>
        <vt:lpwstr>http://www.ncbi.nlm.nih.gov/pubmed/24973813</vt:lpwstr>
      </vt:variant>
      <vt:variant>
        <vt:lpwstr/>
      </vt:variant>
      <vt:variant>
        <vt:i4>3276817</vt:i4>
      </vt:variant>
      <vt:variant>
        <vt:i4>3</vt:i4>
      </vt:variant>
      <vt:variant>
        <vt:i4>0</vt:i4>
      </vt:variant>
      <vt:variant>
        <vt:i4>5</vt:i4>
      </vt:variant>
      <vt:variant>
        <vt:lpwstr>mailto:Michael.Power@ncl.ac.uk</vt:lpwstr>
      </vt:variant>
      <vt:variant>
        <vt:lpwstr/>
      </vt:variant>
      <vt:variant>
        <vt:i4>3407897</vt:i4>
      </vt:variant>
      <vt:variant>
        <vt:i4>0</vt:i4>
      </vt:variant>
      <vt:variant>
        <vt:i4>0</vt:i4>
      </vt:variant>
      <vt:variant>
        <vt:i4>5</vt:i4>
      </vt:variant>
      <vt:variant>
        <vt:lpwstr>mailto:Joy.Allen@ncl.ac.uk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Allen</dc:creator>
  <cp:lastModifiedBy>Joy Allen</cp:lastModifiedBy>
  <cp:revision>2</cp:revision>
  <cp:lastPrinted>2017-04-20T16:22:00Z</cp:lastPrinted>
  <dcterms:created xsi:type="dcterms:W3CDTF">2017-05-11T10:58:00Z</dcterms:created>
  <dcterms:modified xsi:type="dcterms:W3CDTF">2017-05-11T10:58:00Z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720219544</vt:i4>
  </property>
</Properties>
</file>