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73804" w14:textId="77777777" w:rsidR="005A6F86" w:rsidRDefault="005A6F86" w:rsidP="005A6F86">
      <w:pPr>
        <w:pStyle w:val="Title"/>
        <w:jc w:val="right"/>
      </w:pPr>
      <w:r>
        <w:rPr>
          <w:noProof/>
          <w:lang w:val="en-US"/>
        </w:rPr>
        <w:drawing>
          <wp:inline distT="0" distB="0" distL="0" distR="0" wp14:anchorId="1248C48E" wp14:editId="0CA926E6">
            <wp:extent cx="2113808" cy="80178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HR logo.gif"/>
                    <pic:cNvPicPr/>
                  </pic:nvPicPr>
                  <pic:blipFill>
                    <a:blip r:embed="rId4">
                      <a:extLst>
                        <a:ext uri="{28A0092B-C50C-407E-A947-70E740481C1C}">
                          <a14:useLocalDpi xmlns:a14="http://schemas.microsoft.com/office/drawing/2010/main" val="0"/>
                        </a:ext>
                      </a:extLst>
                    </a:blip>
                    <a:stretch>
                      <a:fillRect/>
                    </a:stretch>
                  </pic:blipFill>
                  <pic:spPr>
                    <a:xfrm>
                      <a:off x="0" y="0"/>
                      <a:ext cx="2157114" cy="818216"/>
                    </a:xfrm>
                    <a:prstGeom prst="rect">
                      <a:avLst/>
                    </a:prstGeom>
                  </pic:spPr>
                </pic:pic>
              </a:graphicData>
            </a:graphic>
          </wp:inline>
        </w:drawing>
      </w:r>
    </w:p>
    <w:p w14:paraId="21ECBE2F" w14:textId="77777777" w:rsidR="005A6F86" w:rsidRPr="00BF00B2" w:rsidRDefault="005A6F86" w:rsidP="005A6F86">
      <w:pPr>
        <w:jc w:val="right"/>
        <w:rPr>
          <w:rFonts w:ascii="Calibri Light" w:hAnsi="Calibri Light"/>
          <w:b/>
          <w:color w:val="365F91" w:themeColor="accent1" w:themeShade="BF"/>
          <w:sz w:val="26"/>
        </w:rPr>
      </w:pPr>
      <w:r w:rsidRPr="00BF00B2">
        <w:rPr>
          <w:rFonts w:ascii="Calibri Light" w:hAnsi="Calibri Light"/>
          <w:b/>
          <w:color w:val="365F91" w:themeColor="accent1" w:themeShade="BF"/>
          <w:sz w:val="26"/>
        </w:rPr>
        <w:t>Diagnostic Evidence Co-operative (DEC) Newcastle</w:t>
      </w:r>
    </w:p>
    <w:p w14:paraId="1AC906C8" w14:textId="77777777" w:rsidR="005A6F86" w:rsidRDefault="005A6F86" w:rsidP="005A6F86">
      <w:pPr>
        <w:pStyle w:val="Title"/>
        <w:jc w:val="right"/>
      </w:pPr>
    </w:p>
    <w:p w14:paraId="2D15DC75" w14:textId="77777777" w:rsidR="005A6F86" w:rsidRDefault="005A6F86" w:rsidP="00F105FE">
      <w:pPr>
        <w:pStyle w:val="Title"/>
      </w:pPr>
    </w:p>
    <w:p w14:paraId="44DABC50" w14:textId="77777777" w:rsidR="00D6130E" w:rsidRPr="00D6130E" w:rsidRDefault="00D6130E" w:rsidP="00F105FE">
      <w:pPr>
        <w:pStyle w:val="Title"/>
      </w:pPr>
      <w:r w:rsidRPr="00D6130E">
        <w:t>Calculation of age and gender related non-HDL-C percentiles from Health Survey for England data – Implications for diagnosis of Familial Hypercholesterolaemia (FH)</w:t>
      </w:r>
    </w:p>
    <w:p w14:paraId="16771319" w14:textId="77777777" w:rsidR="00D6130E" w:rsidRPr="00D6130E" w:rsidRDefault="00D6130E">
      <w:pPr>
        <w:rPr>
          <w:rFonts w:asciiTheme="majorHAnsi" w:hAnsiTheme="majorHAnsi"/>
        </w:rPr>
      </w:pPr>
    </w:p>
    <w:p w14:paraId="71245BE1" w14:textId="77777777" w:rsidR="00D6130E" w:rsidRPr="005A6F86" w:rsidRDefault="00D6130E" w:rsidP="00D6130E">
      <w:pPr>
        <w:rPr>
          <w:rFonts w:asciiTheme="majorHAnsi" w:hAnsiTheme="majorHAnsi"/>
          <w:sz w:val="22"/>
          <w:szCs w:val="22"/>
        </w:rPr>
      </w:pPr>
      <w:r w:rsidRPr="005A6F86">
        <w:rPr>
          <w:rFonts w:asciiTheme="majorHAnsi" w:hAnsiTheme="majorHAnsi"/>
          <w:sz w:val="22"/>
          <w:szCs w:val="22"/>
        </w:rPr>
        <w:t>Joy Allen</w:t>
      </w:r>
      <w:r w:rsidRPr="005A6F86">
        <w:rPr>
          <w:rFonts w:asciiTheme="majorHAnsi" w:hAnsiTheme="majorHAnsi"/>
          <w:sz w:val="22"/>
          <w:szCs w:val="22"/>
          <w:vertAlign w:val="superscript"/>
        </w:rPr>
        <w:t>1</w:t>
      </w:r>
      <w:r w:rsidRPr="005A6F86">
        <w:rPr>
          <w:rFonts w:asciiTheme="majorHAnsi" w:hAnsiTheme="majorHAnsi"/>
          <w:sz w:val="22"/>
          <w:szCs w:val="22"/>
        </w:rPr>
        <w:t>, Michael Power</w:t>
      </w:r>
      <w:r w:rsidRPr="005A6F86">
        <w:rPr>
          <w:rFonts w:asciiTheme="majorHAnsi" w:hAnsiTheme="majorHAnsi"/>
          <w:sz w:val="22"/>
          <w:szCs w:val="22"/>
          <w:vertAlign w:val="superscript"/>
        </w:rPr>
        <w:t>1</w:t>
      </w:r>
      <w:r w:rsidRPr="005A6F86">
        <w:rPr>
          <w:rFonts w:asciiTheme="majorHAnsi" w:hAnsiTheme="majorHAnsi"/>
          <w:sz w:val="22"/>
          <w:szCs w:val="22"/>
        </w:rPr>
        <w:t>, Julie Day</w:t>
      </w:r>
      <w:r w:rsidRPr="005A6F86">
        <w:rPr>
          <w:rFonts w:asciiTheme="majorHAnsi" w:hAnsiTheme="majorHAnsi"/>
          <w:sz w:val="22"/>
          <w:szCs w:val="22"/>
          <w:vertAlign w:val="superscript"/>
        </w:rPr>
        <w:t>2</w:t>
      </w:r>
      <w:r w:rsidRPr="005A6F86">
        <w:rPr>
          <w:rFonts w:asciiTheme="majorHAnsi" w:hAnsiTheme="majorHAnsi"/>
          <w:sz w:val="22"/>
          <w:szCs w:val="22"/>
        </w:rPr>
        <w:t>, Jennifer S Mindell</w:t>
      </w:r>
      <w:r w:rsidRPr="005A6F86">
        <w:rPr>
          <w:rFonts w:asciiTheme="majorHAnsi" w:hAnsiTheme="majorHAnsi"/>
          <w:sz w:val="22"/>
          <w:szCs w:val="22"/>
          <w:vertAlign w:val="superscript"/>
        </w:rPr>
        <w:t>3</w:t>
      </w:r>
      <w:r w:rsidRPr="005A6F86">
        <w:rPr>
          <w:rFonts w:asciiTheme="majorHAnsi" w:hAnsiTheme="majorHAnsi"/>
          <w:sz w:val="22"/>
          <w:szCs w:val="22"/>
        </w:rPr>
        <w:t>, Shaun Scholes</w:t>
      </w:r>
      <w:r w:rsidRPr="005A6F86">
        <w:rPr>
          <w:rFonts w:asciiTheme="majorHAnsi" w:hAnsiTheme="majorHAnsi"/>
          <w:sz w:val="22"/>
          <w:szCs w:val="22"/>
          <w:vertAlign w:val="superscript"/>
        </w:rPr>
        <w:t>3</w:t>
      </w:r>
      <w:r w:rsidRPr="005A6F86">
        <w:rPr>
          <w:rFonts w:asciiTheme="majorHAnsi" w:hAnsiTheme="majorHAnsi"/>
          <w:sz w:val="22"/>
          <w:szCs w:val="22"/>
        </w:rPr>
        <w:t>, Dermot Neely</w:t>
      </w:r>
      <w:r w:rsidRPr="005A6F86">
        <w:rPr>
          <w:rFonts w:asciiTheme="majorHAnsi" w:hAnsiTheme="majorHAnsi"/>
          <w:sz w:val="22"/>
          <w:szCs w:val="22"/>
          <w:vertAlign w:val="superscript"/>
        </w:rPr>
        <w:t>1</w:t>
      </w:r>
      <w:proofErr w:type="gramStart"/>
      <w:r w:rsidRPr="005A6F86">
        <w:rPr>
          <w:rFonts w:asciiTheme="majorHAnsi" w:hAnsiTheme="majorHAnsi"/>
          <w:sz w:val="22"/>
          <w:szCs w:val="22"/>
          <w:vertAlign w:val="superscript"/>
        </w:rPr>
        <w:t>,2</w:t>
      </w:r>
      <w:proofErr w:type="gramEnd"/>
    </w:p>
    <w:p w14:paraId="1AE5B09D" w14:textId="77777777" w:rsidR="00D6130E" w:rsidRPr="005A6F86" w:rsidRDefault="00D6130E" w:rsidP="00D6130E">
      <w:pPr>
        <w:rPr>
          <w:rFonts w:asciiTheme="majorHAnsi" w:hAnsiTheme="majorHAnsi"/>
          <w:sz w:val="22"/>
          <w:szCs w:val="22"/>
        </w:rPr>
      </w:pPr>
      <w:r w:rsidRPr="005A6F86">
        <w:rPr>
          <w:rFonts w:asciiTheme="majorHAnsi" w:hAnsiTheme="majorHAnsi"/>
          <w:sz w:val="22"/>
          <w:szCs w:val="22"/>
          <w:vertAlign w:val="superscript"/>
        </w:rPr>
        <w:t>1</w:t>
      </w:r>
      <w:r w:rsidRPr="005A6F86">
        <w:rPr>
          <w:rFonts w:asciiTheme="majorHAnsi" w:hAnsiTheme="majorHAnsi"/>
          <w:sz w:val="22"/>
          <w:szCs w:val="22"/>
        </w:rPr>
        <w:t xml:space="preserve"> NIHR Diagnostic Evidence Co-operative Newcastle, </w:t>
      </w:r>
      <w:r w:rsidRPr="005A6F86">
        <w:rPr>
          <w:rFonts w:asciiTheme="majorHAnsi" w:hAnsiTheme="majorHAnsi"/>
          <w:sz w:val="22"/>
          <w:szCs w:val="22"/>
          <w:vertAlign w:val="superscript"/>
        </w:rPr>
        <w:t>2</w:t>
      </w:r>
      <w:r w:rsidRPr="005A6F86">
        <w:rPr>
          <w:rFonts w:asciiTheme="majorHAnsi" w:hAnsiTheme="majorHAnsi"/>
          <w:sz w:val="22"/>
          <w:szCs w:val="22"/>
        </w:rPr>
        <w:t xml:space="preserve"> Department of Clinical Biochemistry, Newcastle upon Tyne Hospitals NHS Foundation Trust, </w:t>
      </w:r>
      <w:r w:rsidRPr="005A6F86">
        <w:rPr>
          <w:rFonts w:asciiTheme="majorHAnsi" w:hAnsiTheme="majorHAnsi"/>
          <w:sz w:val="22"/>
          <w:szCs w:val="22"/>
          <w:vertAlign w:val="superscript"/>
        </w:rPr>
        <w:t>3</w:t>
      </w:r>
      <w:r w:rsidRPr="005A6F86">
        <w:rPr>
          <w:rFonts w:asciiTheme="majorHAnsi" w:hAnsiTheme="majorHAnsi"/>
          <w:sz w:val="22"/>
          <w:szCs w:val="22"/>
        </w:rPr>
        <w:t>Health and Social Surveys Research Group, Research Department of Epidemiology &amp; Public Health, UCL</w:t>
      </w:r>
    </w:p>
    <w:p w14:paraId="088CF451" w14:textId="31B7973F" w:rsidR="00F105FE" w:rsidRPr="005A6F86" w:rsidRDefault="00F105FE" w:rsidP="00F105FE">
      <w:pPr>
        <w:pStyle w:val="Heading1"/>
        <w:rPr>
          <w:sz w:val="22"/>
          <w:szCs w:val="22"/>
        </w:rPr>
      </w:pPr>
      <w:r w:rsidRPr="005A6F86">
        <w:rPr>
          <w:sz w:val="22"/>
          <w:szCs w:val="22"/>
        </w:rPr>
        <w:t>Abstract</w:t>
      </w:r>
    </w:p>
    <w:p w14:paraId="5CF8498C" w14:textId="5086D284" w:rsidR="00B05BBF" w:rsidRPr="005A6F86" w:rsidRDefault="005A6F86" w:rsidP="00B05BBF">
      <w:pPr>
        <w:rPr>
          <w:rFonts w:asciiTheme="majorHAnsi" w:hAnsiTheme="majorHAnsi"/>
          <w:sz w:val="22"/>
          <w:szCs w:val="22"/>
        </w:rPr>
      </w:pPr>
      <w:r w:rsidRPr="005A6F86">
        <w:rPr>
          <w:rStyle w:val="Strong"/>
          <w:rFonts w:asciiTheme="majorHAnsi" w:hAnsiTheme="majorHAnsi"/>
          <w:color w:val="000000" w:themeColor="text1"/>
          <w:sz w:val="22"/>
          <w:szCs w:val="22"/>
        </w:rPr>
        <w:t>Objective -</w:t>
      </w:r>
      <w:r w:rsidR="00317C22" w:rsidRPr="005A6F86">
        <w:rPr>
          <w:rStyle w:val="Strong"/>
          <w:rFonts w:asciiTheme="majorHAnsi" w:hAnsiTheme="majorHAnsi"/>
          <w:color w:val="000000" w:themeColor="text1"/>
          <w:sz w:val="22"/>
          <w:szCs w:val="22"/>
        </w:rPr>
        <w:t xml:space="preserve"> </w:t>
      </w:r>
      <w:r w:rsidR="00B05BBF" w:rsidRPr="005A6F86">
        <w:rPr>
          <w:rFonts w:asciiTheme="majorHAnsi" w:hAnsiTheme="majorHAnsi"/>
          <w:sz w:val="22"/>
          <w:szCs w:val="22"/>
        </w:rPr>
        <w:t>To develop clinically</w:t>
      </w:r>
      <w:r w:rsidR="00182095" w:rsidRPr="005A6F86">
        <w:rPr>
          <w:rFonts w:asciiTheme="majorHAnsi" w:hAnsiTheme="majorHAnsi"/>
          <w:sz w:val="22"/>
          <w:szCs w:val="22"/>
        </w:rPr>
        <w:t xml:space="preserve"> acceptable charts of lipid valu</w:t>
      </w:r>
      <w:r w:rsidR="00B05BBF" w:rsidRPr="005A6F86">
        <w:rPr>
          <w:rFonts w:asciiTheme="majorHAnsi" w:hAnsiTheme="majorHAnsi"/>
          <w:sz w:val="22"/>
          <w:szCs w:val="22"/>
        </w:rPr>
        <w:t xml:space="preserve">es illustrating age and gender specific differences to refine the referral for full genetic testing of possible Familiar Hypercholesterolaemia (FH) patients.  </w:t>
      </w:r>
    </w:p>
    <w:p w14:paraId="3C2A73C6" w14:textId="77777777" w:rsidR="00B05BBF" w:rsidRPr="005A6F86" w:rsidRDefault="00B05BBF" w:rsidP="00B05BBF">
      <w:pPr>
        <w:rPr>
          <w:rFonts w:asciiTheme="majorHAnsi" w:hAnsiTheme="majorHAnsi"/>
          <w:sz w:val="22"/>
          <w:szCs w:val="22"/>
        </w:rPr>
      </w:pPr>
    </w:p>
    <w:p w14:paraId="43A84CB2" w14:textId="77777777" w:rsidR="00D6130E" w:rsidRPr="005A6F86" w:rsidRDefault="00B05BBF" w:rsidP="009B7830">
      <w:pPr>
        <w:pStyle w:val="NoSpacing"/>
        <w:rPr>
          <w:rFonts w:asciiTheme="majorHAnsi" w:hAnsiTheme="majorHAnsi" w:cs="Arial"/>
          <w:sz w:val="22"/>
          <w:szCs w:val="22"/>
          <w:lang w:eastAsia="zh-CN"/>
        </w:rPr>
      </w:pPr>
      <w:r w:rsidRPr="005A6F86">
        <w:rPr>
          <w:rFonts w:asciiTheme="majorHAnsi" w:hAnsiTheme="majorHAnsi"/>
          <w:b/>
          <w:sz w:val="22"/>
          <w:szCs w:val="22"/>
          <w:lang w:eastAsia="zh-CN"/>
        </w:rPr>
        <w:t xml:space="preserve">Background </w:t>
      </w:r>
      <w:r w:rsidRPr="005A6F86">
        <w:rPr>
          <w:rFonts w:asciiTheme="majorHAnsi" w:hAnsiTheme="majorHAnsi"/>
          <w:sz w:val="22"/>
          <w:szCs w:val="22"/>
          <w:lang w:eastAsia="zh-CN"/>
        </w:rPr>
        <w:t xml:space="preserve">- </w:t>
      </w:r>
      <w:r w:rsidR="009B7830" w:rsidRPr="005A6F86">
        <w:rPr>
          <w:rFonts w:asciiTheme="majorHAnsi" w:hAnsiTheme="majorHAnsi"/>
          <w:sz w:val="22"/>
          <w:szCs w:val="22"/>
          <w:lang w:eastAsia="zh-CN"/>
        </w:rPr>
        <w:t xml:space="preserve">Familial Hypercholesterolaemia (FH) is a genetic disorder characterised by high </w:t>
      </w:r>
      <w:r w:rsidR="009B7830" w:rsidRPr="005A6F86">
        <w:rPr>
          <w:rFonts w:asciiTheme="majorHAnsi" w:hAnsiTheme="majorHAnsi" w:cs="Arial"/>
          <w:sz w:val="22"/>
          <w:szCs w:val="22"/>
          <w:lang w:eastAsia="zh-CN"/>
        </w:rPr>
        <w:t xml:space="preserve">LDL-cholesterol </w:t>
      </w:r>
      <w:r w:rsidR="009B7830" w:rsidRPr="005A6F86">
        <w:rPr>
          <w:rFonts w:asciiTheme="majorHAnsi" w:hAnsiTheme="majorHAnsi"/>
          <w:sz w:val="22"/>
          <w:szCs w:val="22"/>
          <w:lang w:eastAsia="zh-CN"/>
        </w:rPr>
        <w:t xml:space="preserve">levels causing premature cardiovascular disease. </w:t>
      </w:r>
      <w:r w:rsidR="009B7830" w:rsidRPr="005A6F86">
        <w:rPr>
          <w:rFonts w:asciiTheme="majorHAnsi" w:hAnsiTheme="majorHAnsi" w:cs="Arial"/>
          <w:sz w:val="22"/>
          <w:szCs w:val="22"/>
          <w:lang w:eastAsia="zh-CN"/>
        </w:rPr>
        <w:t>Phenotypic scoring systems such as the Dutch Lip</w:t>
      </w:r>
      <w:r w:rsidR="00E14D00" w:rsidRPr="005A6F86">
        <w:rPr>
          <w:rFonts w:asciiTheme="majorHAnsi" w:hAnsiTheme="majorHAnsi" w:cs="Arial"/>
          <w:sz w:val="22"/>
          <w:szCs w:val="22"/>
          <w:lang w:eastAsia="zh-CN"/>
        </w:rPr>
        <w:t>id Clinic Network Score (DLNCS) or</w:t>
      </w:r>
      <w:r w:rsidR="009B7830" w:rsidRPr="005A6F86">
        <w:rPr>
          <w:rFonts w:asciiTheme="majorHAnsi" w:hAnsiTheme="majorHAnsi" w:cs="Arial"/>
          <w:sz w:val="22"/>
          <w:szCs w:val="22"/>
          <w:lang w:eastAsia="zh-CN"/>
        </w:rPr>
        <w:t xml:space="preserve"> the Simon Broome Crit</w:t>
      </w:r>
      <w:r w:rsidR="00E14D00" w:rsidRPr="005A6F86">
        <w:rPr>
          <w:rFonts w:asciiTheme="majorHAnsi" w:hAnsiTheme="majorHAnsi" w:cs="Arial"/>
          <w:sz w:val="22"/>
          <w:szCs w:val="22"/>
          <w:lang w:eastAsia="zh-CN"/>
        </w:rPr>
        <w:t>eria (SBC)</w:t>
      </w:r>
      <w:r w:rsidR="009B7830" w:rsidRPr="005A6F86">
        <w:rPr>
          <w:rFonts w:asciiTheme="majorHAnsi" w:hAnsiTheme="majorHAnsi" w:cs="Arial"/>
          <w:sz w:val="22"/>
          <w:szCs w:val="22"/>
          <w:lang w:eastAsia="zh-CN"/>
        </w:rPr>
        <w:t xml:space="preserve"> are recommended for selection of patients with a hig</w:t>
      </w:r>
      <w:r w:rsidR="00E14D00" w:rsidRPr="005A6F86">
        <w:rPr>
          <w:rFonts w:asciiTheme="majorHAnsi" w:hAnsiTheme="majorHAnsi" w:cs="Arial"/>
          <w:sz w:val="22"/>
          <w:szCs w:val="22"/>
          <w:lang w:eastAsia="zh-CN"/>
        </w:rPr>
        <w:t>h likelihood of having monogenic</w:t>
      </w:r>
      <w:r w:rsidR="009B7830" w:rsidRPr="005A6F86">
        <w:rPr>
          <w:rFonts w:asciiTheme="majorHAnsi" w:hAnsiTheme="majorHAnsi" w:cs="Arial"/>
          <w:sz w:val="22"/>
          <w:szCs w:val="22"/>
          <w:lang w:eastAsia="zh-CN"/>
        </w:rPr>
        <w:t xml:space="preserve"> FH.  </w:t>
      </w:r>
      <w:r w:rsidR="00D6130E" w:rsidRPr="005A6F86">
        <w:rPr>
          <w:rFonts w:asciiTheme="majorHAnsi" w:hAnsiTheme="majorHAnsi"/>
          <w:sz w:val="22"/>
          <w:szCs w:val="22"/>
        </w:rPr>
        <w:t>Th</w:t>
      </w:r>
      <w:r w:rsidR="00E14D00" w:rsidRPr="005A6F86">
        <w:rPr>
          <w:rFonts w:asciiTheme="majorHAnsi" w:hAnsiTheme="majorHAnsi"/>
          <w:sz w:val="22"/>
          <w:szCs w:val="22"/>
        </w:rPr>
        <w:t>ese criteria all incorporate</w:t>
      </w:r>
      <w:r w:rsidR="00C3626C" w:rsidRPr="005A6F86">
        <w:rPr>
          <w:rFonts w:asciiTheme="majorHAnsi" w:hAnsiTheme="majorHAnsi"/>
          <w:sz w:val="22"/>
          <w:szCs w:val="22"/>
        </w:rPr>
        <w:t xml:space="preserve"> the index case’s</w:t>
      </w:r>
      <w:r w:rsidR="00E14D00" w:rsidRPr="005A6F86">
        <w:rPr>
          <w:rFonts w:asciiTheme="majorHAnsi" w:hAnsiTheme="majorHAnsi"/>
          <w:sz w:val="22"/>
          <w:szCs w:val="22"/>
        </w:rPr>
        <w:t xml:space="preserve"> personal and family history, </w:t>
      </w:r>
      <w:r w:rsidR="00223119" w:rsidRPr="005A6F86">
        <w:rPr>
          <w:rFonts w:asciiTheme="majorHAnsi" w:hAnsiTheme="majorHAnsi"/>
          <w:sz w:val="22"/>
          <w:szCs w:val="22"/>
        </w:rPr>
        <w:t>physical signs</w:t>
      </w:r>
      <w:r w:rsidR="00C3626C" w:rsidRPr="005A6F86">
        <w:rPr>
          <w:rFonts w:asciiTheme="majorHAnsi" w:hAnsiTheme="majorHAnsi"/>
          <w:sz w:val="22"/>
          <w:szCs w:val="22"/>
        </w:rPr>
        <w:t xml:space="preserve"> and</w:t>
      </w:r>
      <w:r w:rsidR="00D6130E" w:rsidRPr="005A6F86">
        <w:rPr>
          <w:rFonts w:asciiTheme="majorHAnsi" w:hAnsiTheme="majorHAnsi"/>
          <w:sz w:val="22"/>
          <w:szCs w:val="22"/>
        </w:rPr>
        <w:t xml:space="preserve"> LDL-C concentration.  The specific LDL-C thresholds applied are independent of age and </w:t>
      </w:r>
      <w:r w:rsidR="009B7830" w:rsidRPr="005A6F86">
        <w:rPr>
          <w:rFonts w:asciiTheme="majorHAnsi" w:hAnsiTheme="majorHAnsi"/>
          <w:sz w:val="22"/>
          <w:szCs w:val="22"/>
        </w:rPr>
        <w:t>gen</w:t>
      </w:r>
      <w:r w:rsidR="00E14D00" w:rsidRPr="005A6F86">
        <w:rPr>
          <w:rFonts w:asciiTheme="majorHAnsi" w:hAnsiTheme="majorHAnsi"/>
          <w:sz w:val="22"/>
          <w:szCs w:val="22"/>
        </w:rPr>
        <w:t>der however, FH diagnosis</w:t>
      </w:r>
      <w:r w:rsidR="009B7830" w:rsidRPr="005A6F86">
        <w:rPr>
          <w:rFonts w:asciiTheme="majorHAnsi" w:hAnsiTheme="majorHAnsi"/>
          <w:sz w:val="22"/>
          <w:szCs w:val="22"/>
        </w:rPr>
        <w:t xml:space="preserve"> may be improved by the use of percentile </w:t>
      </w:r>
      <w:r w:rsidR="00951EBE" w:rsidRPr="005A6F86">
        <w:rPr>
          <w:rFonts w:asciiTheme="majorHAnsi" w:hAnsiTheme="majorHAnsi"/>
          <w:sz w:val="22"/>
          <w:szCs w:val="22"/>
        </w:rPr>
        <w:t xml:space="preserve">cholesterol </w:t>
      </w:r>
      <w:r w:rsidR="009B7830" w:rsidRPr="005A6F86">
        <w:rPr>
          <w:rFonts w:asciiTheme="majorHAnsi" w:hAnsiTheme="majorHAnsi"/>
          <w:sz w:val="22"/>
          <w:szCs w:val="22"/>
        </w:rPr>
        <w:t>thresholds based on nationally-representative population data.</w:t>
      </w:r>
      <w:r w:rsidR="00D6130E" w:rsidRPr="005A6F86">
        <w:rPr>
          <w:rFonts w:asciiTheme="majorHAnsi" w:hAnsiTheme="majorHAnsi"/>
          <w:sz w:val="22"/>
          <w:szCs w:val="22"/>
        </w:rPr>
        <w:t xml:space="preserve"> </w:t>
      </w:r>
    </w:p>
    <w:p w14:paraId="2A93135F" w14:textId="77777777" w:rsidR="00223119" w:rsidRPr="005A6F86" w:rsidRDefault="00223119" w:rsidP="00D6130E">
      <w:pPr>
        <w:rPr>
          <w:rFonts w:asciiTheme="majorHAnsi" w:hAnsiTheme="majorHAnsi"/>
          <w:sz w:val="22"/>
          <w:szCs w:val="22"/>
        </w:rPr>
      </w:pPr>
    </w:p>
    <w:p w14:paraId="675ADAA8" w14:textId="5AD072A1" w:rsidR="00B05BBF" w:rsidRPr="005A6F86" w:rsidRDefault="00223119" w:rsidP="00D6130E">
      <w:pPr>
        <w:rPr>
          <w:rFonts w:asciiTheme="majorHAnsi" w:hAnsiTheme="majorHAnsi"/>
          <w:sz w:val="22"/>
          <w:szCs w:val="22"/>
        </w:rPr>
      </w:pPr>
      <w:r w:rsidRPr="005A6F86">
        <w:rPr>
          <w:rFonts w:asciiTheme="majorHAnsi" w:hAnsiTheme="majorHAnsi"/>
          <w:b/>
          <w:sz w:val="22"/>
          <w:szCs w:val="22"/>
        </w:rPr>
        <w:t>Methods</w:t>
      </w:r>
      <w:r w:rsidR="00B05BBF" w:rsidRPr="005A6F86">
        <w:rPr>
          <w:rFonts w:asciiTheme="majorHAnsi" w:hAnsiTheme="majorHAnsi"/>
          <w:sz w:val="22"/>
          <w:szCs w:val="22"/>
        </w:rPr>
        <w:t xml:space="preserve"> – The Health Survey for England data (2003 –</w:t>
      </w:r>
      <w:r w:rsidR="00D573D1" w:rsidRPr="005A6F86">
        <w:rPr>
          <w:rFonts w:asciiTheme="majorHAnsi" w:hAnsiTheme="majorHAnsi"/>
          <w:sz w:val="22"/>
          <w:szCs w:val="22"/>
        </w:rPr>
        <w:t xml:space="preserve"> 2014</w:t>
      </w:r>
      <w:r w:rsidR="00B05BBF" w:rsidRPr="005A6F86">
        <w:rPr>
          <w:rFonts w:asciiTheme="majorHAnsi" w:hAnsiTheme="majorHAnsi"/>
          <w:sz w:val="22"/>
          <w:szCs w:val="22"/>
        </w:rPr>
        <w:t xml:space="preserve">) was used to estimate gender specific total and </w:t>
      </w:r>
      <w:proofErr w:type="spellStart"/>
      <w:r w:rsidR="00B05BBF" w:rsidRPr="005A6F86">
        <w:rPr>
          <w:rFonts w:asciiTheme="majorHAnsi" w:hAnsiTheme="majorHAnsi"/>
          <w:sz w:val="22"/>
          <w:szCs w:val="22"/>
        </w:rPr>
        <w:t>nonHDL</w:t>
      </w:r>
      <w:proofErr w:type="spellEnd"/>
      <w:r w:rsidR="00B05BBF" w:rsidRPr="005A6F86">
        <w:rPr>
          <w:rFonts w:asciiTheme="majorHAnsi" w:hAnsiTheme="majorHAnsi"/>
          <w:sz w:val="22"/>
          <w:szCs w:val="22"/>
        </w:rPr>
        <w:t xml:space="preserve"> Cholesterol age distributions for he</w:t>
      </w:r>
      <w:r w:rsidR="00DF71D1" w:rsidRPr="005A6F86">
        <w:rPr>
          <w:rFonts w:asciiTheme="majorHAnsi" w:hAnsiTheme="majorHAnsi"/>
          <w:sz w:val="22"/>
          <w:szCs w:val="22"/>
        </w:rPr>
        <w:t>althy adults (&gt;16).  Using GAML</w:t>
      </w:r>
      <w:r w:rsidR="00B05BBF" w:rsidRPr="005A6F86">
        <w:rPr>
          <w:rFonts w:asciiTheme="majorHAnsi" w:hAnsiTheme="majorHAnsi"/>
          <w:sz w:val="22"/>
          <w:szCs w:val="22"/>
        </w:rPr>
        <w:t>SS procedures, the authors created smoothed curves demonstrating population based 90</w:t>
      </w:r>
      <w:r w:rsidR="00B05BBF" w:rsidRPr="005A6F86">
        <w:rPr>
          <w:rFonts w:asciiTheme="majorHAnsi" w:hAnsiTheme="majorHAnsi"/>
          <w:sz w:val="22"/>
          <w:szCs w:val="22"/>
          <w:vertAlign w:val="superscript"/>
        </w:rPr>
        <w:t>th</w:t>
      </w:r>
      <w:r w:rsidR="00B05BBF" w:rsidRPr="005A6F86">
        <w:rPr>
          <w:rFonts w:asciiTheme="majorHAnsi" w:hAnsiTheme="majorHAnsi"/>
          <w:sz w:val="22"/>
          <w:szCs w:val="22"/>
        </w:rPr>
        <w:t>, 97.5</w:t>
      </w:r>
      <w:r w:rsidR="00B05BBF" w:rsidRPr="005A6F86">
        <w:rPr>
          <w:rFonts w:asciiTheme="majorHAnsi" w:hAnsiTheme="majorHAnsi"/>
          <w:sz w:val="22"/>
          <w:szCs w:val="22"/>
          <w:vertAlign w:val="superscript"/>
        </w:rPr>
        <w:t>th</w:t>
      </w:r>
      <w:r w:rsidR="00B05BBF" w:rsidRPr="005A6F86">
        <w:rPr>
          <w:rFonts w:asciiTheme="majorHAnsi" w:hAnsiTheme="majorHAnsi"/>
          <w:sz w:val="22"/>
          <w:szCs w:val="22"/>
        </w:rPr>
        <w:t>, 99</w:t>
      </w:r>
      <w:r w:rsidR="00B05BBF" w:rsidRPr="005A6F86">
        <w:rPr>
          <w:rFonts w:asciiTheme="majorHAnsi" w:hAnsiTheme="majorHAnsi"/>
          <w:sz w:val="22"/>
          <w:szCs w:val="22"/>
          <w:vertAlign w:val="superscript"/>
        </w:rPr>
        <w:t>th</w:t>
      </w:r>
      <w:r w:rsidR="00B05BBF" w:rsidRPr="005A6F86">
        <w:rPr>
          <w:rFonts w:asciiTheme="majorHAnsi" w:hAnsiTheme="majorHAnsi"/>
          <w:sz w:val="22"/>
          <w:szCs w:val="22"/>
        </w:rPr>
        <w:t>, 99.5</w:t>
      </w:r>
      <w:r w:rsidR="00B05BBF" w:rsidRPr="005A6F86">
        <w:rPr>
          <w:rFonts w:asciiTheme="majorHAnsi" w:hAnsiTheme="majorHAnsi"/>
          <w:sz w:val="22"/>
          <w:szCs w:val="22"/>
          <w:vertAlign w:val="superscript"/>
        </w:rPr>
        <w:t>th</w:t>
      </w:r>
      <w:r w:rsidR="00B05BBF" w:rsidRPr="005A6F86">
        <w:rPr>
          <w:rFonts w:asciiTheme="majorHAnsi" w:hAnsiTheme="majorHAnsi"/>
          <w:sz w:val="22"/>
          <w:szCs w:val="22"/>
        </w:rPr>
        <w:t xml:space="preserve"> percentiles.</w:t>
      </w:r>
    </w:p>
    <w:p w14:paraId="2383533F" w14:textId="77777777" w:rsidR="00223119" w:rsidRPr="005A6F86" w:rsidRDefault="00223119" w:rsidP="00D6130E">
      <w:pPr>
        <w:rPr>
          <w:rFonts w:asciiTheme="majorHAnsi" w:hAnsiTheme="majorHAnsi"/>
          <w:sz w:val="22"/>
          <w:szCs w:val="22"/>
        </w:rPr>
      </w:pPr>
    </w:p>
    <w:p w14:paraId="001D672A" w14:textId="615D8167" w:rsidR="00223119" w:rsidRPr="005A6F86" w:rsidRDefault="005A6F86" w:rsidP="00D6130E">
      <w:pPr>
        <w:rPr>
          <w:rFonts w:asciiTheme="majorHAnsi" w:hAnsiTheme="majorHAnsi"/>
          <w:sz w:val="22"/>
          <w:szCs w:val="22"/>
        </w:rPr>
      </w:pPr>
      <w:r w:rsidRPr="005A6F86">
        <w:rPr>
          <w:rFonts w:asciiTheme="majorHAnsi" w:hAnsiTheme="majorHAnsi"/>
          <w:b/>
          <w:sz w:val="22"/>
          <w:szCs w:val="22"/>
        </w:rPr>
        <w:lastRenderedPageBreak/>
        <w:t>Results</w:t>
      </w:r>
      <w:r w:rsidRPr="005A6F86">
        <w:rPr>
          <w:rFonts w:asciiTheme="majorHAnsi" w:hAnsiTheme="majorHAnsi"/>
          <w:sz w:val="22"/>
          <w:szCs w:val="22"/>
        </w:rPr>
        <w:t xml:space="preserve"> -</w:t>
      </w:r>
      <w:r w:rsidR="00B05BBF" w:rsidRPr="005A6F86">
        <w:rPr>
          <w:rFonts w:asciiTheme="majorHAnsi" w:hAnsiTheme="majorHAnsi"/>
          <w:sz w:val="22"/>
          <w:szCs w:val="22"/>
        </w:rPr>
        <w:t xml:space="preserve"> Th</w:t>
      </w:r>
      <w:r w:rsidR="00B10217" w:rsidRPr="005A6F86">
        <w:rPr>
          <w:rFonts w:asciiTheme="majorHAnsi" w:hAnsiTheme="majorHAnsi"/>
          <w:sz w:val="22"/>
          <w:szCs w:val="22"/>
        </w:rPr>
        <w:t>e curves were based on 26,680</w:t>
      </w:r>
      <w:r w:rsidR="00B05BBF" w:rsidRPr="005A6F86">
        <w:rPr>
          <w:rFonts w:asciiTheme="majorHAnsi" w:hAnsiTheme="majorHAnsi"/>
          <w:sz w:val="22"/>
          <w:szCs w:val="22"/>
        </w:rPr>
        <w:t xml:space="preserve"> adults (&gt;16 years old)</w:t>
      </w:r>
      <w:r w:rsidR="00B10217" w:rsidRPr="005A6F86">
        <w:rPr>
          <w:rFonts w:asciiTheme="majorHAnsi" w:hAnsiTheme="majorHAnsi"/>
          <w:sz w:val="22"/>
          <w:szCs w:val="22"/>
        </w:rPr>
        <w:t>, 11,495</w:t>
      </w:r>
      <w:r w:rsidR="00AE61A7" w:rsidRPr="005A6F86">
        <w:rPr>
          <w:rFonts w:asciiTheme="majorHAnsi" w:hAnsiTheme="majorHAnsi"/>
          <w:sz w:val="22"/>
          <w:szCs w:val="22"/>
        </w:rPr>
        <w:t xml:space="preserve"> males and </w:t>
      </w:r>
      <w:r w:rsidR="00B10217" w:rsidRPr="005A6F86">
        <w:rPr>
          <w:rFonts w:asciiTheme="majorHAnsi" w:hAnsiTheme="majorHAnsi"/>
          <w:sz w:val="22"/>
          <w:szCs w:val="22"/>
        </w:rPr>
        <w:t xml:space="preserve">15,185 </w:t>
      </w:r>
      <w:r w:rsidR="00AE61A7" w:rsidRPr="005A6F86">
        <w:rPr>
          <w:rFonts w:asciiTheme="majorHAnsi" w:hAnsiTheme="majorHAnsi"/>
          <w:sz w:val="22"/>
          <w:szCs w:val="22"/>
        </w:rPr>
        <w:t xml:space="preserve">females.  Curves showed remarkably consistency in shape and magnitude across years for males and females. </w:t>
      </w:r>
    </w:p>
    <w:p w14:paraId="030B707B" w14:textId="77777777" w:rsidR="00AE61A7" w:rsidRPr="005A6F86" w:rsidRDefault="00AE61A7" w:rsidP="00D6130E">
      <w:pPr>
        <w:rPr>
          <w:rFonts w:asciiTheme="majorHAnsi" w:hAnsiTheme="majorHAnsi"/>
          <w:sz w:val="22"/>
          <w:szCs w:val="22"/>
        </w:rPr>
      </w:pPr>
    </w:p>
    <w:p w14:paraId="7ADFA604" w14:textId="2DAE8472" w:rsidR="00951EBE" w:rsidRPr="005A6F86" w:rsidRDefault="00223119" w:rsidP="00D6130E">
      <w:pPr>
        <w:rPr>
          <w:rFonts w:asciiTheme="majorHAnsi" w:hAnsiTheme="majorHAnsi"/>
          <w:sz w:val="22"/>
          <w:szCs w:val="22"/>
        </w:rPr>
      </w:pPr>
      <w:r w:rsidRPr="005A6F86">
        <w:rPr>
          <w:rFonts w:asciiTheme="majorHAnsi" w:hAnsiTheme="majorHAnsi"/>
          <w:b/>
          <w:sz w:val="22"/>
          <w:szCs w:val="22"/>
        </w:rPr>
        <w:t>Discussion</w:t>
      </w:r>
      <w:r w:rsidR="00317C22" w:rsidRPr="005A6F86">
        <w:rPr>
          <w:rFonts w:asciiTheme="majorHAnsi" w:hAnsiTheme="majorHAnsi"/>
          <w:b/>
          <w:sz w:val="22"/>
          <w:szCs w:val="22"/>
        </w:rPr>
        <w:t xml:space="preserve"> - </w:t>
      </w:r>
      <w:r w:rsidR="00951EBE" w:rsidRPr="005A6F86">
        <w:rPr>
          <w:rFonts w:asciiTheme="majorHAnsi" w:hAnsiTheme="majorHAnsi"/>
          <w:sz w:val="22"/>
          <w:szCs w:val="22"/>
        </w:rPr>
        <w:t xml:space="preserve">A non-HDL-C concentration of 5.7mmol/L can be considered equivalent to a </w:t>
      </w:r>
      <w:proofErr w:type="spellStart"/>
      <w:r w:rsidR="00951EBE" w:rsidRPr="005A6F86">
        <w:rPr>
          <w:rFonts w:asciiTheme="majorHAnsi" w:hAnsiTheme="majorHAnsi"/>
          <w:sz w:val="22"/>
          <w:szCs w:val="22"/>
        </w:rPr>
        <w:t>Friedewald</w:t>
      </w:r>
      <w:proofErr w:type="spellEnd"/>
      <w:r w:rsidR="00951EBE" w:rsidRPr="005A6F86">
        <w:rPr>
          <w:rFonts w:asciiTheme="majorHAnsi" w:hAnsiTheme="majorHAnsi"/>
          <w:sz w:val="22"/>
          <w:szCs w:val="22"/>
        </w:rPr>
        <w:t xml:space="preserve"> calculated LDL-C of 4.9 </w:t>
      </w:r>
      <w:proofErr w:type="spellStart"/>
      <w:r w:rsidR="00951EBE" w:rsidRPr="005A6F86">
        <w:rPr>
          <w:rFonts w:asciiTheme="majorHAnsi" w:hAnsiTheme="majorHAnsi"/>
          <w:sz w:val="22"/>
          <w:szCs w:val="22"/>
        </w:rPr>
        <w:t>mmol</w:t>
      </w:r>
      <w:proofErr w:type="spellEnd"/>
      <w:r w:rsidR="00951EBE" w:rsidRPr="005A6F86">
        <w:rPr>
          <w:rFonts w:asciiTheme="majorHAnsi" w:hAnsiTheme="majorHAnsi"/>
          <w:sz w:val="22"/>
          <w:szCs w:val="22"/>
        </w:rPr>
        <w:t xml:space="preserve">/L in patients with a normal fasting triglyceride of ≤1.7 </w:t>
      </w:r>
      <w:proofErr w:type="spellStart"/>
      <w:r w:rsidR="00951EBE" w:rsidRPr="005A6F86">
        <w:rPr>
          <w:rFonts w:asciiTheme="majorHAnsi" w:hAnsiTheme="majorHAnsi"/>
          <w:sz w:val="22"/>
          <w:szCs w:val="22"/>
        </w:rPr>
        <w:t>mmol</w:t>
      </w:r>
      <w:proofErr w:type="spellEnd"/>
      <w:r w:rsidR="00951EBE" w:rsidRPr="005A6F86">
        <w:rPr>
          <w:rFonts w:asciiTheme="majorHAnsi" w:hAnsiTheme="majorHAnsi"/>
          <w:sz w:val="22"/>
          <w:szCs w:val="22"/>
        </w:rPr>
        <w:t>/L.  This corresponds to the adult diagnostic threshold for FH according to the SBC and yields a score of 3 in the DLNCS.  Our data show that for males aged 35-64, this values lies close to the 90</w:t>
      </w:r>
      <w:r w:rsidR="00951EBE" w:rsidRPr="005A6F86">
        <w:rPr>
          <w:rFonts w:asciiTheme="majorHAnsi" w:hAnsiTheme="majorHAnsi"/>
          <w:sz w:val="22"/>
          <w:szCs w:val="22"/>
          <w:vertAlign w:val="superscript"/>
        </w:rPr>
        <w:t>th</w:t>
      </w:r>
      <w:r w:rsidR="00951EBE" w:rsidRPr="005A6F86">
        <w:rPr>
          <w:rFonts w:asciiTheme="majorHAnsi" w:hAnsiTheme="majorHAnsi"/>
          <w:sz w:val="22"/>
          <w:szCs w:val="22"/>
        </w:rPr>
        <w:t xml:space="preserve"> centile for non-HDL-C but is above the 99</w:t>
      </w:r>
      <w:r w:rsidR="00951EBE" w:rsidRPr="005A6F86">
        <w:rPr>
          <w:rFonts w:asciiTheme="majorHAnsi" w:hAnsiTheme="majorHAnsi"/>
          <w:sz w:val="22"/>
          <w:szCs w:val="22"/>
          <w:vertAlign w:val="superscript"/>
        </w:rPr>
        <w:t>th</w:t>
      </w:r>
      <w:r w:rsidR="00951EBE" w:rsidRPr="005A6F86">
        <w:rPr>
          <w:rFonts w:asciiTheme="majorHAnsi" w:hAnsiTheme="majorHAnsi"/>
          <w:sz w:val="22"/>
          <w:szCs w:val="22"/>
        </w:rPr>
        <w:t xml:space="preserve"> centile for fema</w:t>
      </w:r>
      <w:r w:rsidR="00C3626C" w:rsidRPr="005A6F86">
        <w:rPr>
          <w:rFonts w:asciiTheme="majorHAnsi" w:hAnsiTheme="majorHAnsi"/>
          <w:sz w:val="22"/>
          <w:szCs w:val="22"/>
        </w:rPr>
        <w:t>les aged 16-24.  The use of this</w:t>
      </w:r>
      <w:r w:rsidR="00951EBE" w:rsidRPr="005A6F86">
        <w:rPr>
          <w:rFonts w:asciiTheme="majorHAnsi" w:hAnsiTheme="majorHAnsi"/>
          <w:sz w:val="22"/>
          <w:szCs w:val="22"/>
        </w:rPr>
        <w:t xml:space="preserve"> single threshold is likely to lead to under-diagnosis in males &lt;35 and females &lt;45, as well as over-diagnosis in females &gt; 55.</w:t>
      </w:r>
    </w:p>
    <w:p w14:paraId="70F0D2AC" w14:textId="77777777" w:rsidR="00223119" w:rsidRPr="005A6F86" w:rsidRDefault="00223119" w:rsidP="00D6130E">
      <w:pPr>
        <w:rPr>
          <w:rFonts w:asciiTheme="majorHAnsi" w:hAnsiTheme="majorHAnsi"/>
          <w:sz w:val="22"/>
          <w:szCs w:val="22"/>
        </w:rPr>
      </w:pPr>
    </w:p>
    <w:p w14:paraId="61CF0DFD" w14:textId="77777777" w:rsidR="00223119" w:rsidRPr="005A6F86" w:rsidRDefault="00223119" w:rsidP="00D6130E">
      <w:pPr>
        <w:rPr>
          <w:rFonts w:asciiTheme="majorHAnsi" w:hAnsiTheme="majorHAnsi"/>
          <w:b/>
          <w:sz w:val="22"/>
          <w:szCs w:val="22"/>
        </w:rPr>
      </w:pPr>
      <w:r w:rsidRPr="005A6F86">
        <w:rPr>
          <w:rFonts w:asciiTheme="majorHAnsi" w:hAnsiTheme="majorHAnsi"/>
          <w:b/>
          <w:sz w:val="22"/>
          <w:szCs w:val="22"/>
        </w:rPr>
        <w:t>Conclusions</w:t>
      </w:r>
    </w:p>
    <w:p w14:paraId="7CDD31A0" w14:textId="1B1BD997" w:rsidR="00E47C43" w:rsidRPr="005A6F86" w:rsidRDefault="00E14D00" w:rsidP="00D6130E">
      <w:pPr>
        <w:rPr>
          <w:rFonts w:asciiTheme="majorHAnsi" w:hAnsiTheme="majorHAnsi"/>
          <w:sz w:val="22"/>
          <w:szCs w:val="22"/>
        </w:rPr>
      </w:pPr>
      <w:r w:rsidRPr="005A6F86">
        <w:rPr>
          <w:rFonts w:asciiTheme="majorHAnsi" w:hAnsiTheme="majorHAnsi"/>
          <w:sz w:val="22"/>
          <w:szCs w:val="22"/>
        </w:rPr>
        <w:t>Incorporation of age and gender specific non-HDL-C per</w:t>
      </w:r>
      <w:r w:rsidR="00951EBE" w:rsidRPr="005A6F86">
        <w:rPr>
          <w:rFonts w:asciiTheme="majorHAnsi" w:hAnsiTheme="majorHAnsi"/>
          <w:sz w:val="22"/>
          <w:szCs w:val="22"/>
        </w:rPr>
        <w:t>centiles into UK based FH scoring systems</w:t>
      </w:r>
      <w:r w:rsidRPr="005A6F86">
        <w:rPr>
          <w:rFonts w:asciiTheme="majorHAnsi" w:hAnsiTheme="majorHAnsi"/>
          <w:sz w:val="22"/>
          <w:szCs w:val="22"/>
        </w:rPr>
        <w:t xml:space="preserve"> could potentially improve the</w:t>
      </w:r>
      <w:r w:rsidR="00951EBE" w:rsidRPr="005A6F86">
        <w:rPr>
          <w:rFonts w:asciiTheme="majorHAnsi" w:hAnsiTheme="majorHAnsi"/>
          <w:sz w:val="22"/>
          <w:szCs w:val="22"/>
        </w:rPr>
        <w:t xml:space="preserve"> sensitivity and specificity for FH diagnosis and refine the selection of index cases for targeted genetic testing.  </w:t>
      </w:r>
    </w:p>
    <w:p w14:paraId="4CC5C54E" w14:textId="77777777" w:rsidR="00080A8E" w:rsidRPr="005A6F86" w:rsidRDefault="00080A8E" w:rsidP="00317C22">
      <w:pPr>
        <w:pStyle w:val="Heading1"/>
        <w:rPr>
          <w:sz w:val="22"/>
          <w:szCs w:val="22"/>
        </w:rPr>
      </w:pPr>
      <w:r w:rsidRPr="005A6F86">
        <w:rPr>
          <w:sz w:val="22"/>
          <w:szCs w:val="22"/>
        </w:rPr>
        <w:t>Introduction</w:t>
      </w:r>
    </w:p>
    <w:p w14:paraId="3AF34AC4" w14:textId="77777777" w:rsidR="00080A8E" w:rsidRPr="005A6F86" w:rsidRDefault="00080A8E" w:rsidP="00317C22">
      <w:pPr>
        <w:pStyle w:val="Heading2"/>
        <w:rPr>
          <w:sz w:val="22"/>
          <w:szCs w:val="22"/>
        </w:rPr>
      </w:pPr>
      <w:r w:rsidRPr="005A6F86">
        <w:rPr>
          <w:sz w:val="22"/>
          <w:szCs w:val="22"/>
        </w:rPr>
        <w:t>Methods</w:t>
      </w:r>
    </w:p>
    <w:p w14:paraId="5B261F4C" w14:textId="167736F9" w:rsidR="00E47C43" w:rsidRPr="005A6F86" w:rsidRDefault="00AE61A7" w:rsidP="00D6130E">
      <w:pPr>
        <w:rPr>
          <w:rFonts w:asciiTheme="majorHAnsi" w:hAnsiTheme="majorHAnsi"/>
          <w:sz w:val="22"/>
          <w:szCs w:val="22"/>
        </w:rPr>
      </w:pPr>
      <w:r w:rsidRPr="005A6F86">
        <w:rPr>
          <w:rFonts w:asciiTheme="majorHAnsi" w:hAnsiTheme="majorHAnsi"/>
          <w:sz w:val="22"/>
          <w:szCs w:val="22"/>
        </w:rPr>
        <w:t xml:space="preserve">This study is based on repeated cross sections of the Health Survey for England (HSE) from 2003 – 2013.  HSE is an annual survey which looks at changes in the health and lifestyle of people across England.  It includes an in-home questionnaire on a variety </w:t>
      </w:r>
      <w:commentRangeStart w:id="0"/>
      <w:r w:rsidRPr="005A6F86">
        <w:rPr>
          <w:rFonts w:asciiTheme="majorHAnsi" w:hAnsiTheme="majorHAnsi"/>
          <w:sz w:val="22"/>
          <w:szCs w:val="22"/>
        </w:rPr>
        <w:t>of demographics and healt</w:t>
      </w:r>
      <w:r w:rsidR="00E47C43" w:rsidRPr="005A6F86">
        <w:rPr>
          <w:rFonts w:asciiTheme="majorHAnsi" w:hAnsiTheme="majorHAnsi"/>
          <w:sz w:val="22"/>
          <w:szCs w:val="22"/>
        </w:rPr>
        <w:t xml:space="preserve">h topics, and physical measures as well as laboratory measures.  </w:t>
      </w:r>
      <w:commentRangeEnd w:id="0"/>
      <w:r w:rsidR="00E47C43" w:rsidRPr="005A6F86">
        <w:rPr>
          <w:rStyle w:val="CommentReference"/>
          <w:rFonts w:asciiTheme="majorHAnsi" w:eastAsiaTheme="minorHAnsi" w:hAnsiTheme="majorHAnsi"/>
          <w:sz w:val="22"/>
          <w:szCs w:val="22"/>
          <w:lang w:val="en-US"/>
        </w:rPr>
        <w:commentReference w:id="0"/>
      </w:r>
    </w:p>
    <w:p w14:paraId="608B7B47" w14:textId="77777777" w:rsidR="00E47C43" w:rsidRPr="005A6F86" w:rsidRDefault="00E47C43" w:rsidP="00317C22">
      <w:pPr>
        <w:pStyle w:val="Heading2"/>
        <w:rPr>
          <w:sz w:val="22"/>
          <w:szCs w:val="22"/>
        </w:rPr>
      </w:pPr>
      <w:r w:rsidRPr="005A6F86">
        <w:rPr>
          <w:sz w:val="22"/>
          <w:szCs w:val="22"/>
        </w:rPr>
        <w:t>Sample</w:t>
      </w:r>
    </w:p>
    <w:p w14:paraId="7D03C3B5" w14:textId="7D59D896" w:rsidR="00E47C43" w:rsidRPr="005A6F86" w:rsidRDefault="00BC68FD" w:rsidP="00D6130E">
      <w:pPr>
        <w:rPr>
          <w:rFonts w:asciiTheme="majorHAnsi" w:hAnsiTheme="majorHAnsi"/>
          <w:sz w:val="22"/>
          <w:szCs w:val="22"/>
        </w:rPr>
      </w:pPr>
      <w:r w:rsidRPr="005A6F86">
        <w:rPr>
          <w:rFonts w:asciiTheme="majorHAnsi" w:hAnsiTheme="majorHAnsi"/>
          <w:sz w:val="22"/>
          <w:szCs w:val="22"/>
        </w:rPr>
        <w:t>We included</w:t>
      </w:r>
      <w:r w:rsidR="00D44999" w:rsidRPr="005A6F86">
        <w:rPr>
          <w:rFonts w:asciiTheme="majorHAnsi" w:hAnsiTheme="majorHAnsi"/>
          <w:sz w:val="22"/>
          <w:szCs w:val="22"/>
        </w:rPr>
        <w:t xml:space="preserve"> adults (</w:t>
      </w:r>
      <w:r w:rsidRPr="005A6F86">
        <w:rPr>
          <w:rFonts w:asciiTheme="majorHAnsi" w:hAnsiTheme="majorHAnsi"/>
          <w:sz w:val="22"/>
          <w:szCs w:val="22"/>
        </w:rPr>
        <w:t>age &gt; 16) who had at both thei</w:t>
      </w:r>
      <w:r w:rsidR="00DF71D1" w:rsidRPr="005A6F86">
        <w:rPr>
          <w:rFonts w:asciiTheme="majorHAnsi" w:hAnsiTheme="majorHAnsi"/>
          <w:sz w:val="22"/>
          <w:szCs w:val="22"/>
        </w:rPr>
        <w:t xml:space="preserve">r total cholesterol (TC) and </w:t>
      </w:r>
      <w:r w:rsidRPr="005A6F86">
        <w:rPr>
          <w:rFonts w:asciiTheme="majorHAnsi" w:hAnsiTheme="majorHAnsi"/>
          <w:sz w:val="22"/>
          <w:szCs w:val="22"/>
        </w:rPr>
        <w:t>HDL-C levels available</w:t>
      </w:r>
      <w:r w:rsidR="00DF71D1" w:rsidRPr="005A6F86">
        <w:rPr>
          <w:rFonts w:asciiTheme="majorHAnsi" w:hAnsiTheme="majorHAnsi"/>
          <w:sz w:val="22"/>
          <w:szCs w:val="22"/>
        </w:rPr>
        <w:t xml:space="preserve"> for us to calculate non-HDL-C levels (non-HDL-C = TC – HDL-C).  We excluded adults who were known to be taking</w:t>
      </w:r>
      <w:r w:rsidR="00E47C43" w:rsidRPr="005A6F86">
        <w:rPr>
          <w:rFonts w:asciiTheme="majorHAnsi" w:hAnsiTheme="majorHAnsi"/>
          <w:sz w:val="22"/>
          <w:szCs w:val="22"/>
        </w:rPr>
        <w:t xml:space="preserve"> </w:t>
      </w:r>
      <w:r w:rsidR="00DF71D1" w:rsidRPr="005A6F86">
        <w:rPr>
          <w:rFonts w:asciiTheme="majorHAnsi" w:hAnsiTheme="majorHAnsi"/>
          <w:sz w:val="22"/>
          <w:szCs w:val="22"/>
        </w:rPr>
        <w:t>lipid-lowering</w:t>
      </w:r>
      <w:commentRangeStart w:id="1"/>
      <w:r w:rsidR="00E47C43" w:rsidRPr="005A6F86">
        <w:rPr>
          <w:rFonts w:asciiTheme="majorHAnsi" w:hAnsiTheme="majorHAnsi"/>
          <w:sz w:val="22"/>
          <w:szCs w:val="22"/>
        </w:rPr>
        <w:t xml:space="preserve"> medication</w:t>
      </w:r>
      <w:commentRangeEnd w:id="1"/>
      <w:r w:rsidR="00E47C43" w:rsidRPr="005A6F86">
        <w:rPr>
          <w:rStyle w:val="CommentReference"/>
          <w:rFonts w:asciiTheme="majorHAnsi" w:eastAsiaTheme="minorHAnsi" w:hAnsiTheme="majorHAnsi"/>
          <w:sz w:val="22"/>
          <w:szCs w:val="22"/>
          <w:lang w:val="en-US"/>
        </w:rPr>
        <w:commentReference w:id="1"/>
      </w:r>
      <w:r w:rsidR="00DF71D1" w:rsidRPr="005A6F86">
        <w:rPr>
          <w:rFonts w:asciiTheme="majorHAnsi" w:hAnsiTheme="majorHAnsi"/>
          <w:sz w:val="22"/>
          <w:szCs w:val="22"/>
        </w:rPr>
        <w:t xml:space="preserve">. </w:t>
      </w:r>
    </w:p>
    <w:p w14:paraId="1477F7DC" w14:textId="77777777" w:rsidR="00E47C43" w:rsidRPr="005A6F86" w:rsidRDefault="00E47C43" w:rsidP="00317C22">
      <w:pPr>
        <w:pStyle w:val="Heading2"/>
        <w:rPr>
          <w:sz w:val="22"/>
          <w:szCs w:val="22"/>
        </w:rPr>
      </w:pPr>
      <w:commentRangeStart w:id="2"/>
      <w:r w:rsidRPr="005A6F86">
        <w:rPr>
          <w:sz w:val="22"/>
          <w:szCs w:val="22"/>
        </w:rPr>
        <w:t>Laboratory measures</w:t>
      </w:r>
      <w:commentRangeEnd w:id="2"/>
      <w:r w:rsidRPr="005A6F86">
        <w:rPr>
          <w:rStyle w:val="CommentReference"/>
          <w:rFonts w:eastAsiaTheme="minorHAnsi"/>
          <w:sz w:val="22"/>
          <w:szCs w:val="22"/>
          <w:lang w:val="en-US"/>
        </w:rPr>
        <w:commentReference w:id="2"/>
      </w:r>
    </w:p>
    <w:p w14:paraId="31E2ECAB" w14:textId="586209B6" w:rsidR="00D44999" w:rsidRPr="005A6F86" w:rsidRDefault="00DF71D1" w:rsidP="00D6130E">
      <w:pPr>
        <w:rPr>
          <w:rFonts w:asciiTheme="majorHAnsi" w:hAnsiTheme="majorHAnsi"/>
          <w:sz w:val="22"/>
          <w:szCs w:val="22"/>
        </w:rPr>
      </w:pPr>
      <w:r w:rsidRPr="005A6F86">
        <w:rPr>
          <w:rFonts w:asciiTheme="majorHAnsi" w:hAnsiTheme="majorHAnsi"/>
          <w:sz w:val="22"/>
          <w:szCs w:val="22"/>
          <w:highlight w:val="yellow"/>
        </w:rPr>
        <w:t>Recalibrate values according to recent notification.</w:t>
      </w:r>
      <w:r w:rsidRPr="005A6F86">
        <w:rPr>
          <w:rFonts w:asciiTheme="majorHAnsi" w:hAnsiTheme="majorHAnsi"/>
          <w:sz w:val="22"/>
          <w:szCs w:val="22"/>
        </w:rPr>
        <w:t xml:space="preserve">  </w:t>
      </w:r>
    </w:p>
    <w:p w14:paraId="47D72E80" w14:textId="5D36F249" w:rsidR="00D44999" w:rsidRPr="005A6F86" w:rsidRDefault="00D44999" w:rsidP="00317C22">
      <w:pPr>
        <w:pStyle w:val="Heading2"/>
        <w:rPr>
          <w:sz w:val="22"/>
          <w:szCs w:val="22"/>
        </w:rPr>
      </w:pPr>
      <w:r w:rsidRPr="005A6F86">
        <w:rPr>
          <w:sz w:val="22"/>
          <w:szCs w:val="22"/>
        </w:rPr>
        <w:t>Statistical Methods</w:t>
      </w:r>
    </w:p>
    <w:p w14:paraId="54B5CAEE" w14:textId="1BC676B9" w:rsidR="00D44999" w:rsidRPr="005A6F86" w:rsidRDefault="00D44999" w:rsidP="00D6130E">
      <w:pPr>
        <w:rPr>
          <w:rFonts w:asciiTheme="majorHAnsi" w:hAnsiTheme="majorHAnsi"/>
          <w:sz w:val="22"/>
          <w:szCs w:val="22"/>
        </w:rPr>
      </w:pPr>
      <w:r w:rsidRPr="005A6F86">
        <w:rPr>
          <w:rFonts w:asciiTheme="majorHAnsi" w:hAnsiTheme="majorHAnsi"/>
          <w:sz w:val="22"/>
          <w:szCs w:val="22"/>
        </w:rPr>
        <w:t xml:space="preserve">We used the LMS method which is used within the R GAMLSS package.  This function uses the Box-Cox Cole and Green (BCCG) distribution for the response variable, non-HDL-C which is similar, but not identical to those used to create age and gender specific childhood growth charts.  Sample sizes of 100 at each age point have been recommended for curves such as this.  </w:t>
      </w:r>
    </w:p>
    <w:p w14:paraId="38832F9D" w14:textId="5BB7093F" w:rsidR="00D44999" w:rsidRPr="005A6F86" w:rsidRDefault="00BC68FD" w:rsidP="00D6130E">
      <w:pPr>
        <w:rPr>
          <w:rFonts w:asciiTheme="majorHAnsi" w:hAnsiTheme="majorHAnsi"/>
          <w:sz w:val="22"/>
          <w:szCs w:val="22"/>
        </w:rPr>
      </w:pPr>
      <w:r w:rsidRPr="005A6F86">
        <w:rPr>
          <w:rFonts w:asciiTheme="majorHAnsi" w:hAnsiTheme="majorHAnsi"/>
          <w:sz w:val="22"/>
          <w:szCs w:val="22"/>
        </w:rPr>
        <w:t xml:space="preserve">See </w:t>
      </w:r>
      <w:r w:rsidRPr="005A6F86">
        <w:rPr>
          <w:rFonts w:asciiTheme="majorHAnsi" w:hAnsiTheme="majorHAnsi"/>
          <w:i/>
          <w:sz w:val="22"/>
          <w:szCs w:val="22"/>
        </w:rPr>
        <w:fldChar w:fldCharType="begin"/>
      </w:r>
      <w:r w:rsidRPr="005A6F86">
        <w:rPr>
          <w:rFonts w:asciiTheme="majorHAnsi" w:hAnsiTheme="majorHAnsi"/>
          <w:i/>
          <w:sz w:val="22"/>
          <w:szCs w:val="22"/>
        </w:rPr>
        <w:instrText xml:space="preserve"> REF _Ref357089435 \h </w:instrText>
      </w:r>
      <w:r w:rsidRPr="005A6F86">
        <w:rPr>
          <w:rFonts w:asciiTheme="majorHAnsi" w:hAnsiTheme="majorHAnsi"/>
          <w:i/>
          <w:sz w:val="22"/>
          <w:szCs w:val="22"/>
        </w:rPr>
      </w:r>
      <w:r w:rsidR="005A6F86" w:rsidRPr="005A6F86">
        <w:rPr>
          <w:rFonts w:asciiTheme="majorHAnsi" w:hAnsiTheme="majorHAnsi"/>
          <w:i/>
          <w:sz w:val="22"/>
          <w:szCs w:val="22"/>
        </w:rPr>
        <w:instrText xml:space="preserve"> \* MERGEFORMAT </w:instrText>
      </w:r>
      <w:r w:rsidRPr="005A6F86">
        <w:rPr>
          <w:rFonts w:asciiTheme="majorHAnsi" w:hAnsiTheme="majorHAnsi"/>
          <w:i/>
          <w:sz w:val="22"/>
          <w:szCs w:val="22"/>
        </w:rPr>
        <w:fldChar w:fldCharType="separate"/>
      </w:r>
      <w:r w:rsidRPr="005A6F86">
        <w:rPr>
          <w:rFonts w:asciiTheme="majorHAnsi" w:hAnsiTheme="majorHAnsi"/>
          <w:color w:val="000000" w:themeColor="text1"/>
          <w:sz w:val="22"/>
          <w:szCs w:val="22"/>
        </w:rPr>
        <w:t xml:space="preserve">Table </w:t>
      </w:r>
      <w:r w:rsidRPr="005A6F86">
        <w:rPr>
          <w:rFonts w:asciiTheme="majorHAnsi" w:hAnsiTheme="majorHAnsi"/>
          <w:noProof/>
          <w:color w:val="000000" w:themeColor="text1"/>
          <w:sz w:val="22"/>
          <w:szCs w:val="22"/>
        </w:rPr>
        <w:t>1</w:t>
      </w:r>
      <w:r w:rsidRPr="005A6F86">
        <w:rPr>
          <w:rFonts w:asciiTheme="majorHAnsi" w:hAnsiTheme="majorHAnsi"/>
          <w:i/>
          <w:sz w:val="22"/>
          <w:szCs w:val="22"/>
        </w:rPr>
        <w:fldChar w:fldCharType="end"/>
      </w:r>
      <w:r w:rsidR="00D44999" w:rsidRPr="005A6F86">
        <w:rPr>
          <w:rFonts w:asciiTheme="majorHAnsi" w:hAnsiTheme="majorHAnsi"/>
          <w:sz w:val="22"/>
          <w:szCs w:val="22"/>
        </w:rPr>
        <w:t xml:space="preserve"> for sample si</w:t>
      </w:r>
      <w:r w:rsidRPr="005A6F86">
        <w:rPr>
          <w:rFonts w:asciiTheme="majorHAnsi" w:hAnsiTheme="majorHAnsi"/>
          <w:sz w:val="22"/>
          <w:szCs w:val="22"/>
        </w:rPr>
        <w:t xml:space="preserve">zes at each age for men and women.  </w:t>
      </w:r>
      <w:r w:rsidR="00D44999" w:rsidRPr="005A6F86">
        <w:rPr>
          <w:rFonts w:asciiTheme="majorHAnsi" w:hAnsiTheme="majorHAnsi"/>
          <w:sz w:val="22"/>
          <w:szCs w:val="22"/>
        </w:rPr>
        <w:t xml:space="preserve"> </w:t>
      </w:r>
      <w:r w:rsidRPr="005A6F86">
        <w:rPr>
          <w:rFonts w:asciiTheme="majorHAnsi" w:hAnsiTheme="majorHAnsi"/>
          <w:sz w:val="22"/>
          <w:szCs w:val="22"/>
        </w:rPr>
        <w:t xml:space="preserve">Although sample sizes of less than 100 can be sufficient (REF) this suggests some caution should be used when interpreting data at ages above 78, for men, and 80 for women as the sample sizes for these age groups are small.  </w:t>
      </w:r>
    </w:p>
    <w:p w14:paraId="699E38CE" w14:textId="75F62B1F" w:rsidR="00D44999" w:rsidRPr="005A6F86" w:rsidRDefault="00D44999" w:rsidP="00317C22">
      <w:pPr>
        <w:pStyle w:val="Heading2"/>
        <w:rPr>
          <w:sz w:val="22"/>
          <w:szCs w:val="22"/>
        </w:rPr>
      </w:pPr>
      <w:r w:rsidRPr="005A6F86">
        <w:rPr>
          <w:sz w:val="22"/>
          <w:szCs w:val="22"/>
        </w:rPr>
        <w:t>Results</w:t>
      </w:r>
    </w:p>
    <w:p w14:paraId="5AC3977F" w14:textId="17EAA9F4" w:rsidR="00317C22" w:rsidRPr="005A6F86" w:rsidRDefault="00BC68FD" w:rsidP="00D6130E">
      <w:pPr>
        <w:rPr>
          <w:rFonts w:asciiTheme="majorHAnsi" w:hAnsiTheme="majorHAnsi"/>
          <w:sz w:val="22"/>
          <w:szCs w:val="22"/>
        </w:rPr>
      </w:pPr>
      <w:r w:rsidRPr="005A6F86">
        <w:rPr>
          <w:rFonts w:asciiTheme="majorHAnsi" w:hAnsiTheme="majorHAnsi"/>
          <w:sz w:val="22"/>
          <w:szCs w:val="22"/>
        </w:rPr>
        <w:t xml:space="preserve">The curves (see </w:t>
      </w:r>
      <w:r w:rsidR="00317C22" w:rsidRPr="005A6F86">
        <w:rPr>
          <w:rFonts w:asciiTheme="majorHAnsi" w:hAnsiTheme="majorHAnsi"/>
          <w:sz w:val="22"/>
          <w:szCs w:val="22"/>
        </w:rPr>
        <w:fldChar w:fldCharType="begin"/>
      </w:r>
      <w:r w:rsidR="00317C22" w:rsidRPr="005A6F86">
        <w:rPr>
          <w:rFonts w:asciiTheme="majorHAnsi" w:hAnsiTheme="majorHAnsi"/>
          <w:sz w:val="22"/>
          <w:szCs w:val="22"/>
        </w:rPr>
        <w:instrText xml:space="preserve"> REF _Ref357098221 \h </w:instrText>
      </w:r>
      <w:r w:rsidR="00317C22" w:rsidRPr="005A6F86">
        <w:rPr>
          <w:rFonts w:asciiTheme="majorHAnsi" w:hAnsiTheme="majorHAnsi"/>
          <w:sz w:val="22"/>
          <w:szCs w:val="22"/>
        </w:rPr>
      </w:r>
      <w:r w:rsidR="005A6F86" w:rsidRPr="005A6F86">
        <w:rPr>
          <w:rFonts w:asciiTheme="majorHAnsi" w:hAnsiTheme="majorHAnsi"/>
          <w:sz w:val="22"/>
          <w:szCs w:val="22"/>
        </w:rPr>
        <w:instrText xml:space="preserve"> \* MERGEFORMAT </w:instrText>
      </w:r>
      <w:r w:rsidR="00317C22" w:rsidRPr="005A6F86">
        <w:rPr>
          <w:rFonts w:asciiTheme="majorHAnsi" w:hAnsiTheme="majorHAnsi"/>
          <w:sz w:val="22"/>
          <w:szCs w:val="22"/>
        </w:rPr>
        <w:fldChar w:fldCharType="separate"/>
      </w:r>
      <w:r w:rsidR="00317C22" w:rsidRPr="005A6F86">
        <w:rPr>
          <w:rFonts w:asciiTheme="majorHAnsi" w:hAnsiTheme="majorHAnsi"/>
          <w:color w:val="000000" w:themeColor="text1"/>
          <w:sz w:val="22"/>
          <w:szCs w:val="22"/>
        </w:rPr>
        <w:t xml:space="preserve">Figure </w:t>
      </w:r>
      <w:r w:rsidR="00317C22" w:rsidRPr="005A6F86">
        <w:rPr>
          <w:rFonts w:asciiTheme="majorHAnsi" w:hAnsiTheme="majorHAnsi"/>
          <w:noProof/>
          <w:color w:val="000000" w:themeColor="text1"/>
          <w:sz w:val="22"/>
          <w:szCs w:val="22"/>
        </w:rPr>
        <w:t>1</w:t>
      </w:r>
      <w:r w:rsidR="00317C22" w:rsidRPr="005A6F86">
        <w:rPr>
          <w:rFonts w:asciiTheme="majorHAnsi" w:hAnsiTheme="majorHAnsi"/>
          <w:sz w:val="22"/>
          <w:szCs w:val="22"/>
        </w:rPr>
        <w:fldChar w:fldCharType="end"/>
      </w:r>
      <w:r w:rsidRPr="005A6F86">
        <w:rPr>
          <w:rFonts w:asciiTheme="majorHAnsi" w:hAnsiTheme="majorHAnsi"/>
          <w:sz w:val="22"/>
          <w:szCs w:val="22"/>
        </w:rPr>
        <w:t xml:space="preserve">) were based on 26,680 adults that met the inclusion criteria.  </w:t>
      </w:r>
    </w:p>
    <w:p w14:paraId="3C6535B3" w14:textId="17D99E3D" w:rsidR="00FE43B1" w:rsidRPr="005A6F86" w:rsidRDefault="00FE43B1" w:rsidP="00D6130E">
      <w:pPr>
        <w:rPr>
          <w:rFonts w:asciiTheme="majorHAnsi" w:hAnsiTheme="majorHAnsi"/>
          <w:sz w:val="22"/>
          <w:szCs w:val="22"/>
        </w:rPr>
      </w:pPr>
      <w:r w:rsidRPr="005A6F86">
        <w:rPr>
          <w:rFonts w:asciiTheme="majorHAnsi" w:hAnsiTheme="majorHAnsi"/>
          <w:sz w:val="22"/>
          <w:szCs w:val="22"/>
        </w:rPr>
        <w:t xml:space="preserve">The curves demonstrate peak lipid levels of males aged 40-65 and females aged 65-80.  </w:t>
      </w:r>
    </w:p>
    <w:p w14:paraId="636C4A7E" w14:textId="2086B6FB" w:rsidR="00FF7F02" w:rsidRPr="005A6F86" w:rsidRDefault="00317C22" w:rsidP="00317C22">
      <w:pPr>
        <w:rPr>
          <w:rFonts w:asciiTheme="majorHAnsi" w:hAnsiTheme="majorHAnsi"/>
          <w:sz w:val="22"/>
          <w:szCs w:val="22"/>
        </w:rPr>
      </w:pPr>
      <w:r w:rsidRPr="005A6F86">
        <w:rPr>
          <w:rFonts w:asciiTheme="majorHAnsi" w:hAnsiTheme="majorHAnsi"/>
          <w:sz w:val="22"/>
          <w:szCs w:val="22"/>
        </w:rPr>
        <w:t xml:space="preserve">A non-HDL-C concentration of 5.7mmol/L can be considered equivalent to a </w:t>
      </w:r>
      <w:proofErr w:type="spellStart"/>
      <w:r w:rsidRPr="005A6F86">
        <w:rPr>
          <w:rFonts w:asciiTheme="majorHAnsi" w:hAnsiTheme="majorHAnsi"/>
          <w:sz w:val="22"/>
          <w:szCs w:val="22"/>
        </w:rPr>
        <w:t>Friedewald</w:t>
      </w:r>
      <w:proofErr w:type="spellEnd"/>
      <w:r w:rsidRPr="005A6F86">
        <w:rPr>
          <w:rFonts w:asciiTheme="majorHAnsi" w:hAnsiTheme="majorHAnsi"/>
          <w:sz w:val="22"/>
          <w:szCs w:val="22"/>
        </w:rPr>
        <w:t xml:space="preserve"> calculated LDL-C of 4.9 </w:t>
      </w:r>
      <w:proofErr w:type="spellStart"/>
      <w:r w:rsidRPr="005A6F86">
        <w:rPr>
          <w:rFonts w:asciiTheme="majorHAnsi" w:hAnsiTheme="majorHAnsi"/>
          <w:sz w:val="22"/>
          <w:szCs w:val="22"/>
        </w:rPr>
        <w:t>mmol</w:t>
      </w:r>
      <w:proofErr w:type="spellEnd"/>
      <w:r w:rsidRPr="005A6F86">
        <w:rPr>
          <w:rFonts w:asciiTheme="majorHAnsi" w:hAnsiTheme="majorHAnsi"/>
          <w:sz w:val="22"/>
          <w:szCs w:val="22"/>
        </w:rPr>
        <w:t xml:space="preserve">/L in patients with a normal fasting triglyceride of ≤1.7 </w:t>
      </w:r>
      <w:proofErr w:type="spellStart"/>
      <w:r w:rsidRPr="005A6F86">
        <w:rPr>
          <w:rFonts w:asciiTheme="majorHAnsi" w:hAnsiTheme="majorHAnsi"/>
          <w:sz w:val="22"/>
          <w:szCs w:val="22"/>
        </w:rPr>
        <w:t>mmol</w:t>
      </w:r>
      <w:proofErr w:type="spellEnd"/>
      <w:r w:rsidRPr="005A6F86">
        <w:rPr>
          <w:rFonts w:asciiTheme="majorHAnsi" w:hAnsiTheme="majorHAnsi"/>
          <w:sz w:val="22"/>
          <w:szCs w:val="22"/>
        </w:rPr>
        <w:t xml:space="preserve">/L. </w:t>
      </w:r>
      <w:r w:rsidR="00FE43B1" w:rsidRPr="005A6F86">
        <w:rPr>
          <w:rFonts w:asciiTheme="majorHAnsi" w:hAnsiTheme="majorHAnsi"/>
          <w:sz w:val="22"/>
          <w:szCs w:val="22"/>
        </w:rPr>
        <w:t xml:space="preserve">This has been marked on </w:t>
      </w:r>
      <w:r w:rsidR="00FE43B1" w:rsidRPr="005A6F86">
        <w:rPr>
          <w:rFonts w:asciiTheme="majorHAnsi" w:hAnsiTheme="majorHAnsi"/>
          <w:sz w:val="22"/>
          <w:szCs w:val="22"/>
        </w:rPr>
        <w:fldChar w:fldCharType="begin"/>
      </w:r>
      <w:r w:rsidR="00FE43B1" w:rsidRPr="005A6F86">
        <w:rPr>
          <w:rFonts w:asciiTheme="majorHAnsi" w:hAnsiTheme="majorHAnsi"/>
          <w:sz w:val="22"/>
          <w:szCs w:val="22"/>
        </w:rPr>
        <w:instrText xml:space="preserve"> REF _Ref357098221 \h </w:instrText>
      </w:r>
      <w:r w:rsidR="00FE43B1" w:rsidRPr="005A6F86">
        <w:rPr>
          <w:rFonts w:asciiTheme="majorHAnsi" w:hAnsiTheme="majorHAnsi"/>
          <w:sz w:val="22"/>
          <w:szCs w:val="22"/>
        </w:rPr>
      </w:r>
      <w:r w:rsidR="005A6F86" w:rsidRPr="005A6F86">
        <w:rPr>
          <w:rFonts w:asciiTheme="majorHAnsi" w:hAnsiTheme="majorHAnsi"/>
          <w:sz w:val="22"/>
          <w:szCs w:val="22"/>
        </w:rPr>
        <w:instrText xml:space="preserve"> \* MERGEFORMAT </w:instrText>
      </w:r>
      <w:r w:rsidR="00FE43B1" w:rsidRPr="005A6F86">
        <w:rPr>
          <w:rFonts w:asciiTheme="majorHAnsi" w:hAnsiTheme="majorHAnsi"/>
          <w:sz w:val="22"/>
          <w:szCs w:val="22"/>
        </w:rPr>
        <w:fldChar w:fldCharType="separate"/>
      </w:r>
      <w:r w:rsidR="00FE43B1" w:rsidRPr="005A6F86">
        <w:rPr>
          <w:rFonts w:asciiTheme="majorHAnsi" w:hAnsiTheme="majorHAnsi"/>
          <w:color w:val="000000" w:themeColor="text1"/>
          <w:sz w:val="22"/>
          <w:szCs w:val="22"/>
        </w:rPr>
        <w:t xml:space="preserve">Figure </w:t>
      </w:r>
      <w:r w:rsidR="00FE43B1" w:rsidRPr="005A6F86">
        <w:rPr>
          <w:rFonts w:asciiTheme="majorHAnsi" w:hAnsiTheme="majorHAnsi"/>
          <w:noProof/>
          <w:color w:val="000000" w:themeColor="text1"/>
          <w:sz w:val="22"/>
          <w:szCs w:val="22"/>
        </w:rPr>
        <w:t>1</w:t>
      </w:r>
      <w:r w:rsidR="00FE43B1" w:rsidRPr="005A6F86">
        <w:rPr>
          <w:rFonts w:asciiTheme="majorHAnsi" w:hAnsiTheme="majorHAnsi"/>
          <w:sz w:val="22"/>
          <w:szCs w:val="22"/>
        </w:rPr>
        <w:fldChar w:fldCharType="end"/>
      </w:r>
      <w:r w:rsidR="00FE43B1" w:rsidRPr="005A6F86">
        <w:rPr>
          <w:rFonts w:asciiTheme="majorHAnsi" w:hAnsiTheme="majorHAnsi"/>
          <w:sz w:val="22"/>
          <w:szCs w:val="22"/>
        </w:rPr>
        <w:t xml:space="preserve"> (top).  This demonstrates important differences from currently recommended adult diagnostics threshold for FH of LDL-C of 4.9mmol/L.  Males aged </w:t>
      </w:r>
      <w:r w:rsidR="00FF7F02" w:rsidRPr="005A6F86">
        <w:rPr>
          <w:rFonts w:asciiTheme="majorHAnsi" w:hAnsiTheme="majorHAnsi"/>
          <w:sz w:val="22"/>
          <w:szCs w:val="22"/>
        </w:rPr>
        <w:t xml:space="preserve">40-70, </w:t>
      </w:r>
      <w:r w:rsidRPr="005A6F86">
        <w:rPr>
          <w:rFonts w:asciiTheme="majorHAnsi" w:hAnsiTheme="majorHAnsi"/>
          <w:sz w:val="22"/>
          <w:szCs w:val="22"/>
        </w:rPr>
        <w:t>this values lies close to the 90</w:t>
      </w:r>
      <w:r w:rsidRPr="005A6F86">
        <w:rPr>
          <w:rFonts w:asciiTheme="majorHAnsi" w:hAnsiTheme="majorHAnsi"/>
          <w:sz w:val="22"/>
          <w:szCs w:val="22"/>
          <w:vertAlign w:val="superscript"/>
        </w:rPr>
        <w:t>th</w:t>
      </w:r>
      <w:r w:rsidRPr="005A6F86">
        <w:rPr>
          <w:rFonts w:asciiTheme="majorHAnsi" w:hAnsiTheme="majorHAnsi"/>
          <w:sz w:val="22"/>
          <w:szCs w:val="22"/>
        </w:rPr>
        <w:t xml:space="preserve"> centile for non-HDL-C but is above the 99</w:t>
      </w:r>
      <w:r w:rsidRPr="005A6F86">
        <w:rPr>
          <w:rFonts w:asciiTheme="majorHAnsi" w:hAnsiTheme="majorHAnsi"/>
          <w:sz w:val="22"/>
          <w:szCs w:val="22"/>
          <w:vertAlign w:val="superscript"/>
        </w:rPr>
        <w:t>th</w:t>
      </w:r>
      <w:r w:rsidRPr="005A6F86">
        <w:rPr>
          <w:rFonts w:asciiTheme="majorHAnsi" w:hAnsiTheme="majorHAnsi"/>
          <w:sz w:val="22"/>
          <w:szCs w:val="22"/>
        </w:rPr>
        <w:t xml:space="preserve"> </w:t>
      </w:r>
      <w:r w:rsidRPr="005A6F86">
        <w:rPr>
          <w:rFonts w:asciiTheme="majorHAnsi" w:hAnsiTheme="majorHAnsi"/>
          <w:sz w:val="22"/>
          <w:szCs w:val="22"/>
        </w:rPr>
        <w:lastRenderedPageBreak/>
        <w:t>centile for fema</w:t>
      </w:r>
      <w:r w:rsidR="00FF7F02" w:rsidRPr="005A6F86">
        <w:rPr>
          <w:rFonts w:asciiTheme="majorHAnsi" w:hAnsiTheme="majorHAnsi"/>
          <w:sz w:val="22"/>
          <w:szCs w:val="22"/>
        </w:rPr>
        <w:t>les aged 16-30</w:t>
      </w:r>
      <w:r w:rsidRPr="005A6F86">
        <w:rPr>
          <w:rFonts w:asciiTheme="majorHAnsi" w:hAnsiTheme="majorHAnsi"/>
          <w:sz w:val="22"/>
          <w:szCs w:val="22"/>
        </w:rPr>
        <w:t xml:space="preserve">.  The use of this single threshold is likely to lead </w:t>
      </w:r>
      <w:r w:rsidR="00FF7F02" w:rsidRPr="005A6F86">
        <w:rPr>
          <w:rFonts w:asciiTheme="majorHAnsi" w:hAnsiTheme="majorHAnsi"/>
          <w:sz w:val="22"/>
          <w:szCs w:val="22"/>
        </w:rPr>
        <w:t>to under-diagnosis in males &lt;35</w:t>
      </w:r>
      <w:r w:rsidRPr="005A6F86">
        <w:rPr>
          <w:rFonts w:asciiTheme="majorHAnsi" w:hAnsiTheme="majorHAnsi"/>
          <w:sz w:val="22"/>
          <w:szCs w:val="22"/>
        </w:rPr>
        <w:t xml:space="preserve"> and females &lt;45, as well as over-diagnosis in females &gt; 55.</w:t>
      </w:r>
    </w:p>
    <w:p w14:paraId="4C729DE9" w14:textId="6420E130" w:rsidR="00FF7F02" w:rsidRPr="005A6F86" w:rsidRDefault="00FF7F02" w:rsidP="00FF7F02">
      <w:pPr>
        <w:pStyle w:val="Heading2"/>
        <w:rPr>
          <w:sz w:val="22"/>
          <w:szCs w:val="22"/>
        </w:rPr>
      </w:pPr>
      <w:r w:rsidRPr="005A6F86">
        <w:rPr>
          <w:sz w:val="22"/>
          <w:szCs w:val="22"/>
        </w:rPr>
        <w:t>Discussion</w:t>
      </w:r>
    </w:p>
    <w:p w14:paraId="23FAA3CF" w14:textId="3BA7114A" w:rsidR="00BC68FD" w:rsidRPr="005A6F86" w:rsidRDefault="00FF7F02" w:rsidP="00D6130E">
      <w:pPr>
        <w:rPr>
          <w:rFonts w:asciiTheme="majorHAnsi" w:hAnsiTheme="majorHAnsi"/>
          <w:sz w:val="22"/>
          <w:szCs w:val="22"/>
        </w:rPr>
      </w:pPr>
      <w:r w:rsidRPr="005A6F86">
        <w:rPr>
          <w:rFonts w:asciiTheme="majorHAnsi" w:hAnsiTheme="majorHAnsi"/>
          <w:sz w:val="22"/>
          <w:szCs w:val="22"/>
        </w:rPr>
        <w:t>Our findings confirm previous findings of differences in lipids dependent on age (ref wales score and Starr paper</w:t>
      </w:r>
      <w:proofErr w:type="gramStart"/>
      <w:r w:rsidR="005A6F86">
        <w:rPr>
          <w:rFonts w:asciiTheme="majorHAnsi" w:hAnsiTheme="majorHAnsi"/>
          <w:sz w:val="22"/>
          <w:szCs w:val="22"/>
        </w:rPr>
        <w:t>) .</w:t>
      </w:r>
      <w:proofErr w:type="gramEnd"/>
      <w:r w:rsidR="005A6F86">
        <w:rPr>
          <w:rFonts w:asciiTheme="majorHAnsi" w:hAnsiTheme="majorHAnsi"/>
          <w:sz w:val="22"/>
          <w:szCs w:val="22"/>
        </w:rPr>
        <w:t xml:space="preserve">  We extend these findings</w:t>
      </w:r>
      <w:r w:rsidRPr="005A6F86">
        <w:rPr>
          <w:rFonts w:asciiTheme="majorHAnsi" w:hAnsiTheme="majorHAnsi"/>
          <w:sz w:val="22"/>
          <w:szCs w:val="22"/>
        </w:rPr>
        <w:t xml:space="preserve"> using a nationally representative sample of healthy adults and excluding those known to be taking lipid lowering drugs, to create curves to help refine the current clinical diagnosis of FH.  </w:t>
      </w:r>
    </w:p>
    <w:p w14:paraId="3125387B" w14:textId="77777777" w:rsidR="00FF7F02" w:rsidRPr="005A6F86" w:rsidRDefault="00FF7F02" w:rsidP="00D6130E">
      <w:pPr>
        <w:rPr>
          <w:rFonts w:asciiTheme="majorHAnsi" w:hAnsiTheme="majorHAnsi"/>
          <w:sz w:val="22"/>
          <w:szCs w:val="22"/>
        </w:rPr>
      </w:pPr>
    </w:p>
    <w:p w14:paraId="6E8636FA" w14:textId="00D55A33" w:rsidR="00FF7F02" w:rsidRPr="005A6F86" w:rsidRDefault="00FF7F02" w:rsidP="00D6130E">
      <w:pPr>
        <w:rPr>
          <w:rFonts w:asciiTheme="majorHAnsi" w:hAnsiTheme="majorHAnsi"/>
          <w:sz w:val="22"/>
          <w:szCs w:val="22"/>
        </w:rPr>
      </w:pPr>
      <w:r w:rsidRPr="005A6F86">
        <w:rPr>
          <w:rFonts w:asciiTheme="majorHAnsi" w:hAnsiTheme="majorHAnsi"/>
          <w:sz w:val="22"/>
          <w:szCs w:val="22"/>
        </w:rPr>
        <w:t xml:space="preserve">Current established scoring criteria for a clinical diagnosis of FH and referral for genetic testing use a fixed value LDL-C </w:t>
      </w:r>
      <w:proofErr w:type="spellStart"/>
      <w:r w:rsidRPr="005A6F86">
        <w:rPr>
          <w:rFonts w:asciiTheme="majorHAnsi" w:hAnsiTheme="majorHAnsi"/>
          <w:sz w:val="22"/>
          <w:szCs w:val="22"/>
        </w:rPr>
        <w:t>cutoff</w:t>
      </w:r>
      <w:proofErr w:type="spellEnd"/>
      <w:r w:rsidRPr="005A6F86">
        <w:rPr>
          <w:rFonts w:asciiTheme="majorHAnsi" w:hAnsiTheme="majorHAnsi"/>
          <w:sz w:val="22"/>
          <w:szCs w:val="22"/>
        </w:rPr>
        <w:t xml:space="preserve"> irrespective of gender or age.  </w:t>
      </w:r>
    </w:p>
    <w:p w14:paraId="696F8D3C" w14:textId="778A29BC" w:rsidR="00FE43B1" w:rsidRPr="005A6F86" w:rsidRDefault="00FE43B1">
      <w:pPr>
        <w:rPr>
          <w:rFonts w:asciiTheme="majorHAnsi" w:hAnsiTheme="majorHAnsi"/>
          <w:sz w:val="22"/>
          <w:szCs w:val="22"/>
        </w:rPr>
      </w:pPr>
      <w:r w:rsidRPr="005A6F86">
        <w:rPr>
          <w:rFonts w:asciiTheme="majorHAnsi" w:hAnsiTheme="majorHAnsi"/>
          <w:sz w:val="22"/>
          <w:szCs w:val="22"/>
        </w:rPr>
        <w:br w:type="page"/>
      </w:r>
    </w:p>
    <w:p w14:paraId="2CFE6EED" w14:textId="7BABE52E" w:rsidR="00BA4E22" w:rsidRPr="00317C22" w:rsidRDefault="00317C22" w:rsidP="00317C22">
      <w:pPr>
        <w:pStyle w:val="Heading1"/>
      </w:pPr>
      <w:r>
        <w:lastRenderedPageBreak/>
        <w:t>Tables</w:t>
      </w:r>
    </w:p>
    <w:p w14:paraId="1CBA6EBF" w14:textId="33E83413" w:rsidR="00BC68FD" w:rsidRPr="00BC68FD" w:rsidRDefault="00BC68FD" w:rsidP="00BC68FD">
      <w:pPr>
        <w:pStyle w:val="Caption"/>
        <w:keepNext/>
        <w:rPr>
          <w:rFonts w:asciiTheme="majorHAnsi" w:hAnsiTheme="majorHAnsi"/>
          <w:i/>
          <w:color w:val="000000" w:themeColor="text1"/>
          <w:sz w:val="22"/>
        </w:rPr>
      </w:pPr>
      <w:bookmarkStart w:id="3" w:name="_Ref357089435"/>
      <w:r w:rsidRPr="00BC68FD">
        <w:rPr>
          <w:rFonts w:asciiTheme="majorHAnsi" w:hAnsiTheme="majorHAnsi"/>
          <w:color w:val="000000" w:themeColor="text1"/>
          <w:sz w:val="22"/>
        </w:rPr>
        <w:t xml:space="preserve">Table </w:t>
      </w:r>
      <w:r w:rsidRPr="00BC68FD">
        <w:rPr>
          <w:rFonts w:asciiTheme="majorHAnsi" w:hAnsiTheme="majorHAnsi"/>
          <w:color w:val="000000" w:themeColor="text1"/>
          <w:sz w:val="22"/>
        </w:rPr>
        <w:fldChar w:fldCharType="begin"/>
      </w:r>
      <w:r w:rsidRPr="00BC68FD">
        <w:rPr>
          <w:rFonts w:asciiTheme="majorHAnsi" w:hAnsiTheme="majorHAnsi"/>
          <w:color w:val="000000" w:themeColor="text1"/>
          <w:sz w:val="22"/>
        </w:rPr>
        <w:instrText xml:space="preserve"> SEQ Table \* ARABIC </w:instrText>
      </w:r>
      <w:r w:rsidRPr="00BC68FD">
        <w:rPr>
          <w:rFonts w:asciiTheme="majorHAnsi" w:hAnsiTheme="majorHAnsi"/>
          <w:color w:val="000000" w:themeColor="text1"/>
          <w:sz w:val="22"/>
        </w:rPr>
        <w:fldChar w:fldCharType="separate"/>
      </w:r>
      <w:r w:rsidRPr="00BC68FD">
        <w:rPr>
          <w:rFonts w:asciiTheme="majorHAnsi" w:hAnsiTheme="majorHAnsi"/>
          <w:noProof/>
          <w:color w:val="000000" w:themeColor="text1"/>
          <w:sz w:val="22"/>
        </w:rPr>
        <w:t>1</w:t>
      </w:r>
      <w:r w:rsidRPr="00BC68FD">
        <w:rPr>
          <w:rFonts w:asciiTheme="majorHAnsi" w:hAnsiTheme="majorHAnsi"/>
          <w:color w:val="000000" w:themeColor="text1"/>
          <w:sz w:val="22"/>
        </w:rPr>
        <w:fldChar w:fldCharType="end"/>
      </w:r>
      <w:bookmarkEnd w:id="3"/>
      <w:r w:rsidRPr="00BC68FD">
        <w:rPr>
          <w:rFonts w:asciiTheme="majorHAnsi" w:hAnsiTheme="majorHAnsi"/>
          <w:i/>
          <w:color w:val="000000" w:themeColor="text1"/>
          <w:sz w:val="22"/>
        </w:rPr>
        <w:t xml:space="preserve"> Sample size distributions for </w:t>
      </w:r>
      <w:proofErr w:type="spellStart"/>
      <w:r w:rsidRPr="00BC68FD">
        <w:rPr>
          <w:rFonts w:asciiTheme="majorHAnsi" w:hAnsiTheme="majorHAnsi"/>
          <w:i/>
          <w:color w:val="000000" w:themeColor="text1"/>
          <w:sz w:val="22"/>
        </w:rPr>
        <w:t>nonHDL</w:t>
      </w:r>
      <w:proofErr w:type="spellEnd"/>
      <w:r w:rsidRPr="00BC68FD">
        <w:rPr>
          <w:rFonts w:asciiTheme="majorHAnsi" w:hAnsiTheme="majorHAnsi"/>
          <w:i/>
          <w:color w:val="000000" w:themeColor="text1"/>
          <w:sz w:val="22"/>
        </w:rPr>
        <w:t xml:space="preserve"> values for men and women at each age</w:t>
      </w:r>
    </w:p>
    <w:tbl>
      <w:tblPr>
        <w:tblW w:w="7938" w:type="dxa"/>
        <w:tblInd w:w="93" w:type="dxa"/>
        <w:tblLook w:val="04A0" w:firstRow="1" w:lastRow="0" w:firstColumn="1" w:lastColumn="0" w:noHBand="0" w:noVBand="1"/>
      </w:tblPr>
      <w:tblGrid>
        <w:gridCol w:w="1300"/>
        <w:gridCol w:w="1300"/>
        <w:gridCol w:w="1300"/>
        <w:gridCol w:w="520"/>
        <w:gridCol w:w="1300"/>
        <w:gridCol w:w="1300"/>
        <w:gridCol w:w="1300"/>
      </w:tblGrid>
      <w:tr w:rsidR="00BA4E22" w:rsidRPr="00BA4E22" w14:paraId="352E16BC" w14:textId="77777777" w:rsidTr="00317C22">
        <w:trPr>
          <w:cantSplit/>
        </w:trPr>
        <w:tc>
          <w:tcPr>
            <w:tcW w:w="1300" w:type="dxa"/>
            <w:tcBorders>
              <w:top w:val="single" w:sz="4" w:space="0" w:color="auto"/>
              <w:left w:val="nil"/>
              <w:bottom w:val="single" w:sz="8" w:space="0" w:color="auto"/>
              <w:right w:val="nil"/>
            </w:tcBorders>
            <w:shd w:val="clear" w:color="000000" w:fill="EBF1DE"/>
            <w:noWrap/>
            <w:vAlign w:val="bottom"/>
            <w:hideMark/>
          </w:tcPr>
          <w:p w14:paraId="3D9F04FB" w14:textId="77777777" w:rsidR="00BA4E22" w:rsidRPr="00BA4E22" w:rsidRDefault="00BA4E22" w:rsidP="00BA4E22">
            <w:pPr>
              <w:rPr>
                <w:rFonts w:ascii="Calibri" w:eastAsia="Times New Roman" w:hAnsi="Calibri" w:cs="Times New Roman"/>
                <w:b/>
                <w:bCs/>
                <w:color w:val="000000"/>
                <w:sz w:val="22"/>
                <w:szCs w:val="20"/>
              </w:rPr>
            </w:pPr>
            <w:r w:rsidRPr="00BA4E22">
              <w:rPr>
                <w:rFonts w:ascii="Calibri" w:eastAsia="Times New Roman" w:hAnsi="Calibri" w:cs="Times New Roman"/>
                <w:b/>
                <w:bCs/>
                <w:color w:val="000000"/>
                <w:sz w:val="22"/>
                <w:szCs w:val="20"/>
              </w:rPr>
              <w:t>Age</w:t>
            </w:r>
          </w:p>
        </w:tc>
        <w:tc>
          <w:tcPr>
            <w:tcW w:w="1300" w:type="dxa"/>
            <w:tcBorders>
              <w:top w:val="single" w:sz="4" w:space="0" w:color="auto"/>
              <w:left w:val="nil"/>
              <w:bottom w:val="single" w:sz="8" w:space="0" w:color="auto"/>
              <w:right w:val="nil"/>
            </w:tcBorders>
            <w:shd w:val="clear" w:color="000000" w:fill="EBF1DE"/>
            <w:noWrap/>
            <w:vAlign w:val="bottom"/>
            <w:hideMark/>
          </w:tcPr>
          <w:p w14:paraId="188EE88D" w14:textId="77777777" w:rsidR="00BA4E22" w:rsidRPr="00BA4E22" w:rsidRDefault="00BA4E22" w:rsidP="00BA4E22">
            <w:pPr>
              <w:rPr>
                <w:rFonts w:ascii="Calibri" w:eastAsia="Times New Roman" w:hAnsi="Calibri" w:cs="Times New Roman"/>
                <w:b/>
                <w:bCs/>
                <w:color w:val="000000"/>
                <w:sz w:val="22"/>
                <w:szCs w:val="20"/>
              </w:rPr>
            </w:pPr>
            <w:r w:rsidRPr="00BA4E22">
              <w:rPr>
                <w:rFonts w:ascii="Calibri" w:eastAsia="Times New Roman" w:hAnsi="Calibri" w:cs="Times New Roman"/>
                <w:b/>
                <w:bCs/>
                <w:color w:val="000000"/>
                <w:sz w:val="22"/>
                <w:szCs w:val="20"/>
              </w:rPr>
              <w:t>Male</w:t>
            </w:r>
          </w:p>
        </w:tc>
        <w:tc>
          <w:tcPr>
            <w:tcW w:w="1300" w:type="dxa"/>
            <w:tcBorders>
              <w:top w:val="single" w:sz="4" w:space="0" w:color="auto"/>
              <w:left w:val="nil"/>
              <w:bottom w:val="single" w:sz="8" w:space="0" w:color="auto"/>
              <w:right w:val="nil"/>
            </w:tcBorders>
            <w:shd w:val="clear" w:color="000000" w:fill="EBF1DE"/>
            <w:noWrap/>
            <w:vAlign w:val="bottom"/>
            <w:hideMark/>
          </w:tcPr>
          <w:p w14:paraId="3D7C3B1F" w14:textId="77777777" w:rsidR="00BA4E22" w:rsidRPr="00BA4E22" w:rsidRDefault="00BA4E22" w:rsidP="00BA4E22">
            <w:pPr>
              <w:rPr>
                <w:rFonts w:ascii="Calibri" w:eastAsia="Times New Roman" w:hAnsi="Calibri" w:cs="Times New Roman"/>
                <w:b/>
                <w:bCs/>
                <w:color w:val="000000"/>
                <w:sz w:val="22"/>
                <w:szCs w:val="20"/>
              </w:rPr>
            </w:pPr>
            <w:r w:rsidRPr="00BA4E22">
              <w:rPr>
                <w:rFonts w:ascii="Calibri" w:eastAsia="Times New Roman" w:hAnsi="Calibri" w:cs="Times New Roman"/>
                <w:b/>
                <w:bCs/>
                <w:color w:val="000000"/>
                <w:sz w:val="22"/>
                <w:szCs w:val="20"/>
              </w:rPr>
              <w:t>Female</w:t>
            </w:r>
          </w:p>
        </w:tc>
        <w:tc>
          <w:tcPr>
            <w:tcW w:w="520" w:type="dxa"/>
            <w:tcBorders>
              <w:top w:val="nil"/>
              <w:left w:val="nil"/>
              <w:bottom w:val="nil"/>
              <w:right w:val="nil"/>
            </w:tcBorders>
            <w:shd w:val="clear" w:color="auto" w:fill="auto"/>
            <w:noWrap/>
            <w:vAlign w:val="bottom"/>
            <w:hideMark/>
          </w:tcPr>
          <w:p w14:paraId="61F4DC31" w14:textId="77777777" w:rsidR="00BA4E22" w:rsidRPr="00BA4E22" w:rsidRDefault="00BA4E22" w:rsidP="00BA4E22">
            <w:pPr>
              <w:rPr>
                <w:rFonts w:ascii="Calibri" w:eastAsia="Times New Roman" w:hAnsi="Calibri" w:cs="Times New Roman"/>
                <w:color w:val="000000"/>
                <w:sz w:val="22"/>
              </w:rPr>
            </w:pPr>
          </w:p>
        </w:tc>
        <w:tc>
          <w:tcPr>
            <w:tcW w:w="1300" w:type="dxa"/>
            <w:tcBorders>
              <w:top w:val="single" w:sz="4" w:space="0" w:color="auto"/>
              <w:left w:val="nil"/>
              <w:bottom w:val="single" w:sz="8" w:space="0" w:color="auto"/>
              <w:right w:val="nil"/>
            </w:tcBorders>
            <w:shd w:val="clear" w:color="000000" w:fill="EBF1DE"/>
            <w:noWrap/>
            <w:vAlign w:val="bottom"/>
            <w:hideMark/>
          </w:tcPr>
          <w:p w14:paraId="09B02C08" w14:textId="77777777" w:rsidR="00BA4E22" w:rsidRPr="00BA4E22" w:rsidRDefault="00BA4E22" w:rsidP="00BA4E22">
            <w:pPr>
              <w:rPr>
                <w:rFonts w:ascii="Calibri" w:eastAsia="Times New Roman" w:hAnsi="Calibri" w:cs="Times New Roman"/>
                <w:b/>
                <w:bCs/>
                <w:color w:val="000000"/>
                <w:sz w:val="22"/>
                <w:szCs w:val="20"/>
              </w:rPr>
            </w:pPr>
            <w:r w:rsidRPr="00BA4E22">
              <w:rPr>
                <w:rFonts w:ascii="Calibri" w:eastAsia="Times New Roman" w:hAnsi="Calibri" w:cs="Times New Roman"/>
                <w:b/>
                <w:bCs/>
                <w:color w:val="000000"/>
                <w:sz w:val="22"/>
                <w:szCs w:val="20"/>
              </w:rPr>
              <w:t>Age</w:t>
            </w:r>
          </w:p>
        </w:tc>
        <w:tc>
          <w:tcPr>
            <w:tcW w:w="1300" w:type="dxa"/>
            <w:tcBorders>
              <w:top w:val="single" w:sz="4" w:space="0" w:color="auto"/>
              <w:left w:val="nil"/>
              <w:bottom w:val="single" w:sz="8" w:space="0" w:color="auto"/>
              <w:right w:val="nil"/>
            </w:tcBorders>
            <w:shd w:val="clear" w:color="000000" w:fill="EBF1DE"/>
            <w:noWrap/>
            <w:vAlign w:val="bottom"/>
            <w:hideMark/>
          </w:tcPr>
          <w:p w14:paraId="4695D56B" w14:textId="77777777" w:rsidR="00BA4E22" w:rsidRPr="00BA4E22" w:rsidRDefault="00BA4E22" w:rsidP="00BA4E22">
            <w:pPr>
              <w:rPr>
                <w:rFonts w:ascii="Calibri" w:eastAsia="Times New Roman" w:hAnsi="Calibri" w:cs="Times New Roman"/>
                <w:b/>
                <w:bCs/>
                <w:color w:val="000000"/>
                <w:sz w:val="22"/>
                <w:szCs w:val="20"/>
              </w:rPr>
            </w:pPr>
            <w:r w:rsidRPr="00BA4E22">
              <w:rPr>
                <w:rFonts w:ascii="Calibri" w:eastAsia="Times New Roman" w:hAnsi="Calibri" w:cs="Times New Roman"/>
                <w:b/>
                <w:bCs/>
                <w:color w:val="000000"/>
                <w:sz w:val="22"/>
                <w:szCs w:val="20"/>
              </w:rPr>
              <w:t>Male</w:t>
            </w:r>
          </w:p>
        </w:tc>
        <w:tc>
          <w:tcPr>
            <w:tcW w:w="1300" w:type="dxa"/>
            <w:tcBorders>
              <w:top w:val="single" w:sz="4" w:space="0" w:color="auto"/>
              <w:left w:val="nil"/>
              <w:bottom w:val="single" w:sz="8" w:space="0" w:color="auto"/>
              <w:right w:val="nil"/>
            </w:tcBorders>
            <w:shd w:val="clear" w:color="000000" w:fill="EBF1DE"/>
            <w:noWrap/>
            <w:vAlign w:val="bottom"/>
            <w:hideMark/>
          </w:tcPr>
          <w:p w14:paraId="7D2951A5" w14:textId="77777777" w:rsidR="00BA4E22" w:rsidRPr="00BA4E22" w:rsidRDefault="00BA4E22" w:rsidP="00BA4E22">
            <w:pPr>
              <w:rPr>
                <w:rFonts w:ascii="Calibri" w:eastAsia="Times New Roman" w:hAnsi="Calibri" w:cs="Times New Roman"/>
                <w:b/>
                <w:bCs/>
                <w:color w:val="000000"/>
                <w:sz w:val="22"/>
                <w:szCs w:val="20"/>
              </w:rPr>
            </w:pPr>
            <w:r w:rsidRPr="00BA4E22">
              <w:rPr>
                <w:rFonts w:ascii="Calibri" w:eastAsia="Times New Roman" w:hAnsi="Calibri" w:cs="Times New Roman"/>
                <w:b/>
                <w:bCs/>
                <w:color w:val="000000"/>
                <w:sz w:val="22"/>
                <w:szCs w:val="20"/>
              </w:rPr>
              <w:t>Female</w:t>
            </w:r>
          </w:p>
        </w:tc>
      </w:tr>
      <w:tr w:rsidR="00BA4E22" w:rsidRPr="00BA4E22" w14:paraId="107D04F9" w14:textId="77777777" w:rsidTr="00317C22">
        <w:trPr>
          <w:cantSplit/>
        </w:trPr>
        <w:tc>
          <w:tcPr>
            <w:tcW w:w="1300" w:type="dxa"/>
            <w:tcBorders>
              <w:top w:val="nil"/>
              <w:left w:val="nil"/>
              <w:bottom w:val="nil"/>
              <w:right w:val="nil"/>
            </w:tcBorders>
            <w:shd w:val="clear" w:color="auto" w:fill="auto"/>
            <w:noWrap/>
            <w:vAlign w:val="bottom"/>
            <w:hideMark/>
          </w:tcPr>
          <w:p w14:paraId="442B047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16</w:t>
            </w:r>
          </w:p>
        </w:tc>
        <w:tc>
          <w:tcPr>
            <w:tcW w:w="1300" w:type="dxa"/>
            <w:tcBorders>
              <w:top w:val="nil"/>
              <w:left w:val="nil"/>
              <w:bottom w:val="nil"/>
              <w:right w:val="nil"/>
            </w:tcBorders>
            <w:shd w:val="clear" w:color="auto" w:fill="auto"/>
            <w:noWrap/>
            <w:vAlign w:val="bottom"/>
            <w:hideMark/>
          </w:tcPr>
          <w:p w14:paraId="415603D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138</w:t>
            </w:r>
          </w:p>
        </w:tc>
        <w:tc>
          <w:tcPr>
            <w:tcW w:w="1300" w:type="dxa"/>
            <w:tcBorders>
              <w:top w:val="nil"/>
              <w:left w:val="nil"/>
              <w:bottom w:val="nil"/>
              <w:right w:val="nil"/>
            </w:tcBorders>
            <w:shd w:val="clear" w:color="auto" w:fill="auto"/>
            <w:noWrap/>
            <w:vAlign w:val="bottom"/>
            <w:hideMark/>
          </w:tcPr>
          <w:p w14:paraId="1BDF4AE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131</w:t>
            </w:r>
          </w:p>
        </w:tc>
        <w:tc>
          <w:tcPr>
            <w:tcW w:w="520" w:type="dxa"/>
            <w:tcBorders>
              <w:top w:val="nil"/>
              <w:left w:val="nil"/>
              <w:bottom w:val="nil"/>
              <w:right w:val="nil"/>
            </w:tcBorders>
            <w:shd w:val="clear" w:color="auto" w:fill="auto"/>
            <w:noWrap/>
            <w:vAlign w:val="bottom"/>
            <w:hideMark/>
          </w:tcPr>
          <w:p w14:paraId="6049E918"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E8021C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59</w:t>
            </w:r>
          </w:p>
        </w:tc>
        <w:tc>
          <w:tcPr>
            <w:tcW w:w="1300" w:type="dxa"/>
            <w:tcBorders>
              <w:top w:val="nil"/>
              <w:left w:val="nil"/>
              <w:bottom w:val="nil"/>
              <w:right w:val="nil"/>
            </w:tcBorders>
            <w:shd w:val="clear" w:color="auto" w:fill="auto"/>
            <w:noWrap/>
            <w:vAlign w:val="bottom"/>
            <w:hideMark/>
          </w:tcPr>
          <w:p w14:paraId="649B890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218</w:t>
            </w:r>
          </w:p>
        </w:tc>
        <w:tc>
          <w:tcPr>
            <w:tcW w:w="1300" w:type="dxa"/>
            <w:tcBorders>
              <w:top w:val="nil"/>
              <w:left w:val="nil"/>
              <w:bottom w:val="nil"/>
              <w:right w:val="nil"/>
            </w:tcBorders>
            <w:shd w:val="clear" w:color="auto" w:fill="auto"/>
            <w:noWrap/>
            <w:vAlign w:val="bottom"/>
            <w:hideMark/>
          </w:tcPr>
          <w:p w14:paraId="3DE4E04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290</w:t>
            </w:r>
          </w:p>
        </w:tc>
      </w:tr>
      <w:tr w:rsidR="00BA4E22" w:rsidRPr="00BA4E22" w14:paraId="49681B2B" w14:textId="77777777" w:rsidTr="00317C22">
        <w:trPr>
          <w:cantSplit/>
        </w:trPr>
        <w:tc>
          <w:tcPr>
            <w:tcW w:w="1300" w:type="dxa"/>
            <w:tcBorders>
              <w:top w:val="nil"/>
              <w:left w:val="nil"/>
              <w:bottom w:val="nil"/>
              <w:right w:val="nil"/>
            </w:tcBorders>
            <w:shd w:val="clear" w:color="auto" w:fill="auto"/>
            <w:noWrap/>
            <w:vAlign w:val="bottom"/>
            <w:hideMark/>
          </w:tcPr>
          <w:p w14:paraId="27347DA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17</w:t>
            </w:r>
          </w:p>
        </w:tc>
        <w:tc>
          <w:tcPr>
            <w:tcW w:w="1300" w:type="dxa"/>
            <w:tcBorders>
              <w:top w:val="nil"/>
              <w:left w:val="nil"/>
              <w:bottom w:val="nil"/>
              <w:right w:val="nil"/>
            </w:tcBorders>
            <w:shd w:val="clear" w:color="auto" w:fill="auto"/>
            <w:noWrap/>
            <w:vAlign w:val="bottom"/>
            <w:hideMark/>
          </w:tcPr>
          <w:p w14:paraId="23C453A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124</w:t>
            </w:r>
          </w:p>
        </w:tc>
        <w:tc>
          <w:tcPr>
            <w:tcW w:w="1300" w:type="dxa"/>
            <w:tcBorders>
              <w:top w:val="nil"/>
              <w:left w:val="nil"/>
              <w:bottom w:val="nil"/>
              <w:right w:val="nil"/>
            </w:tcBorders>
            <w:shd w:val="clear" w:color="auto" w:fill="auto"/>
            <w:noWrap/>
            <w:vAlign w:val="bottom"/>
            <w:hideMark/>
          </w:tcPr>
          <w:p w14:paraId="3DCA9A3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116</w:t>
            </w:r>
          </w:p>
        </w:tc>
        <w:tc>
          <w:tcPr>
            <w:tcW w:w="520" w:type="dxa"/>
            <w:tcBorders>
              <w:top w:val="nil"/>
              <w:left w:val="nil"/>
              <w:bottom w:val="nil"/>
              <w:right w:val="nil"/>
            </w:tcBorders>
            <w:shd w:val="clear" w:color="auto" w:fill="auto"/>
            <w:noWrap/>
            <w:vAlign w:val="bottom"/>
            <w:hideMark/>
          </w:tcPr>
          <w:p w14:paraId="208B1AAE"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138B51D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60</w:t>
            </w:r>
          </w:p>
        </w:tc>
        <w:tc>
          <w:tcPr>
            <w:tcW w:w="1300" w:type="dxa"/>
            <w:tcBorders>
              <w:top w:val="nil"/>
              <w:left w:val="nil"/>
              <w:bottom w:val="nil"/>
              <w:right w:val="nil"/>
            </w:tcBorders>
            <w:shd w:val="clear" w:color="auto" w:fill="auto"/>
            <w:noWrap/>
            <w:vAlign w:val="bottom"/>
            <w:hideMark/>
          </w:tcPr>
          <w:p w14:paraId="62D05E2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228</w:t>
            </w:r>
          </w:p>
        </w:tc>
        <w:tc>
          <w:tcPr>
            <w:tcW w:w="1300" w:type="dxa"/>
            <w:tcBorders>
              <w:top w:val="nil"/>
              <w:left w:val="nil"/>
              <w:bottom w:val="nil"/>
              <w:right w:val="nil"/>
            </w:tcBorders>
            <w:shd w:val="clear" w:color="auto" w:fill="auto"/>
            <w:noWrap/>
            <w:vAlign w:val="bottom"/>
            <w:hideMark/>
          </w:tcPr>
          <w:p w14:paraId="6EB8FA5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284</w:t>
            </w:r>
          </w:p>
        </w:tc>
      </w:tr>
      <w:tr w:rsidR="00BA4E22" w:rsidRPr="00BA4E22" w14:paraId="59A660DA" w14:textId="77777777" w:rsidTr="00317C22">
        <w:trPr>
          <w:cantSplit/>
        </w:trPr>
        <w:tc>
          <w:tcPr>
            <w:tcW w:w="1300" w:type="dxa"/>
            <w:tcBorders>
              <w:top w:val="nil"/>
              <w:left w:val="nil"/>
              <w:bottom w:val="nil"/>
              <w:right w:val="nil"/>
            </w:tcBorders>
            <w:shd w:val="clear" w:color="auto" w:fill="auto"/>
            <w:noWrap/>
            <w:vAlign w:val="bottom"/>
            <w:hideMark/>
          </w:tcPr>
          <w:p w14:paraId="39E7125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18</w:t>
            </w:r>
          </w:p>
        </w:tc>
        <w:tc>
          <w:tcPr>
            <w:tcW w:w="1300" w:type="dxa"/>
            <w:tcBorders>
              <w:top w:val="nil"/>
              <w:left w:val="nil"/>
              <w:bottom w:val="nil"/>
              <w:right w:val="nil"/>
            </w:tcBorders>
            <w:shd w:val="clear" w:color="auto" w:fill="auto"/>
            <w:noWrap/>
            <w:vAlign w:val="bottom"/>
            <w:hideMark/>
          </w:tcPr>
          <w:p w14:paraId="70B8808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135</w:t>
            </w:r>
          </w:p>
        </w:tc>
        <w:tc>
          <w:tcPr>
            <w:tcW w:w="1300" w:type="dxa"/>
            <w:tcBorders>
              <w:top w:val="nil"/>
              <w:left w:val="nil"/>
              <w:bottom w:val="nil"/>
              <w:right w:val="nil"/>
            </w:tcBorders>
            <w:shd w:val="clear" w:color="auto" w:fill="auto"/>
            <w:noWrap/>
            <w:vAlign w:val="bottom"/>
            <w:hideMark/>
          </w:tcPr>
          <w:p w14:paraId="7126C55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105</w:t>
            </w:r>
          </w:p>
        </w:tc>
        <w:tc>
          <w:tcPr>
            <w:tcW w:w="520" w:type="dxa"/>
            <w:tcBorders>
              <w:top w:val="nil"/>
              <w:left w:val="nil"/>
              <w:bottom w:val="nil"/>
              <w:right w:val="nil"/>
            </w:tcBorders>
            <w:shd w:val="clear" w:color="auto" w:fill="auto"/>
            <w:noWrap/>
            <w:vAlign w:val="bottom"/>
            <w:hideMark/>
          </w:tcPr>
          <w:p w14:paraId="776D1A14"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2F8E672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61</w:t>
            </w:r>
          </w:p>
        </w:tc>
        <w:tc>
          <w:tcPr>
            <w:tcW w:w="1300" w:type="dxa"/>
            <w:tcBorders>
              <w:top w:val="nil"/>
              <w:left w:val="nil"/>
              <w:bottom w:val="nil"/>
              <w:right w:val="nil"/>
            </w:tcBorders>
            <w:shd w:val="clear" w:color="auto" w:fill="auto"/>
            <w:noWrap/>
            <w:vAlign w:val="bottom"/>
            <w:hideMark/>
          </w:tcPr>
          <w:p w14:paraId="05172C3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190</w:t>
            </w:r>
          </w:p>
        </w:tc>
        <w:tc>
          <w:tcPr>
            <w:tcW w:w="1300" w:type="dxa"/>
            <w:tcBorders>
              <w:top w:val="nil"/>
              <w:left w:val="nil"/>
              <w:bottom w:val="nil"/>
              <w:right w:val="nil"/>
            </w:tcBorders>
            <w:shd w:val="clear" w:color="auto" w:fill="auto"/>
            <w:noWrap/>
            <w:vAlign w:val="bottom"/>
            <w:hideMark/>
          </w:tcPr>
          <w:p w14:paraId="6507070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287</w:t>
            </w:r>
          </w:p>
        </w:tc>
      </w:tr>
      <w:tr w:rsidR="00BA4E22" w:rsidRPr="00BA4E22" w14:paraId="5798A4EB" w14:textId="77777777" w:rsidTr="00317C22">
        <w:trPr>
          <w:cantSplit/>
        </w:trPr>
        <w:tc>
          <w:tcPr>
            <w:tcW w:w="1300" w:type="dxa"/>
            <w:tcBorders>
              <w:top w:val="nil"/>
              <w:left w:val="nil"/>
              <w:bottom w:val="nil"/>
              <w:right w:val="nil"/>
            </w:tcBorders>
            <w:shd w:val="clear" w:color="auto" w:fill="auto"/>
            <w:noWrap/>
            <w:vAlign w:val="bottom"/>
            <w:hideMark/>
          </w:tcPr>
          <w:p w14:paraId="5EDE70F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w:t>
            </w:r>
          </w:p>
        </w:tc>
        <w:tc>
          <w:tcPr>
            <w:tcW w:w="1300" w:type="dxa"/>
            <w:tcBorders>
              <w:top w:val="nil"/>
              <w:left w:val="nil"/>
              <w:bottom w:val="nil"/>
              <w:right w:val="nil"/>
            </w:tcBorders>
            <w:shd w:val="clear" w:color="auto" w:fill="auto"/>
            <w:noWrap/>
            <w:vAlign w:val="bottom"/>
            <w:hideMark/>
          </w:tcPr>
          <w:p w14:paraId="169FE76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83</w:t>
            </w:r>
          </w:p>
        </w:tc>
        <w:tc>
          <w:tcPr>
            <w:tcW w:w="1300" w:type="dxa"/>
            <w:tcBorders>
              <w:top w:val="nil"/>
              <w:left w:val="nil"/>
              <w:bottom w:val="nil"/>
              <w:right w:val="nil"/>
            </w:tcBorders>
            <w:shd w:val="clear" w:color="auto" w:fill="auto"/>
            <w:noWrap/>
            <w:vAlign w:val="bottom"/>
            <w:hideMark/>
          </w:tcPr>
          <w:p w14:paraId="0F7C4A8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94</w:t>
            </w:r>
          </w:p>
        </w:tc>
        <w:tc>
          <w:tcPr>
            <w:tcW w:w="520" w:type="dxa"/>
            <w:tcBorders>
              <w:top w:val="nil"/>
              <w:left w:val="nil"/>
              <w:bottom w:val="nil"/>
              <w:right w:val="nil"/>
            </w:tcBorders>
            <w:shd w:val="clear" w:color="auto" w:fill="auto"/>
            <w:noWrap/>
            <w:vAlign w:val="bottom"/>
            <w:hideMark/>
          </w:tcPr>
          <w:p w14:paraId="2E450D04"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2A112DB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62</w:t>
            </w:r>
          </w:p>
        </w:tc>
        <w:tc>
          <w:tcPr>
            <w:tcW w:w="1300" w:type="dxa"/>
            <w:tcBorders>
              <w:top w:val="nil"/>
              <w:left w:val="nil"/>
              <w:bottom w:val="nil"/>
              <w:right w:val="nil"/>
            </w:tcBorders>
            <w:shd w:val="clear" w:color="auto" w:fill="auto"/>
            <w:noWrap/>
            <w:vAlign w:val="bottom"/>
            <w:hideMark/>
          </w:tcPr>
          <w:p w14:paraId="7013A87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206</w:t>
            </w:r>
          </w:p>
        </w:tc>
        <w:tc>
          <w:tcPr>
            <w:tcW w:w="1300" w:type="dxa"/>
            <w:tcBorders>
              <w:top w:val="nil"/>
              <w:left w:val="nil"/>
              <w:bottom w:val="nil"/>
              <w:right w:val="nil"/>
            </w:tcBorders>
            <w:shd w:val="clear" w:color="auto" w:fill="auto"/>
            <w:noWrap/>
            <w:vAlign w:val="bottom"/>
            <w:hideMark/>
          </w:tcPr>
          <w:p w14:paraId="3D328EA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233</w:t>
            </w:r>
          </w:p>
        </w:tc>
      </w:tr>
      <w:tr w:rsidR="00BA4E22" w:rsidRPr="00BA4E22" w14:paraId="5A12E438" w14:textId="77777777" w:rsidTr="00317C22">
        <w:trPr>
          <w:cantSplit/>
        </w:trPr>
        <w:tc>
          <w:tcPr>
            <w:tcW w:w="1300" w:type="dxa"/>
            <w:tcBorders>
              <w:top w:val="nil"/>
              <w:left w:val="nil"/>
              <w:bottom w:val="nil"/>
              <w:right w:val="nil"/>
            </w:tcBorders>
            <w:shd w:val="clear" w:color="auto" w:fill="auto"/>
            <w:noWrap/>
            <w:vAlign w:val="bottom"/>
            <w:hideMark/>
          </w:tcPr>
          <w:p w14:paraId="15FBA0F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20</w:t>
            </w:r>
          </w:p>
        </w:tc>
        <w:tc>
          <w:tcPr>
            <w:tcW w:w="1300" w:type="dxa"/>
            <w:tcBorders>
              <w:top w:val="nil"/>
              <w:left w:val="nil"/>
              <w:bottom w:val="nil"/>
              <w:right w:val="nil"/>
            </w:tcBorders>
            <w:shd w:val="clear" w:color="auto" w:fill="auto"/>
            <w:noWrap/>
            <w:vAlign w:val="bottom"/>
            <w:hideMark/>
          </w:tcPr>
          <w:p w14:paraId="715A01A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94</w:t>
            </w:r>
          </w:p>
        </w:tc>
        <w:tc>
          <w:tcPr>
            <w:tcW w:w="1300" w:type="dxa"/>
            <w:tcBorders>
              <w:top w:val="nil"/>
              <w:left w:val="nil"/>
              <w:bottom w:val="nil"/>
              <w:right w:val="nil"/>
            </w:tcBorders>
            <w:shd w:val="clear" w:color="auto" w:fill="auto"/>
            <w:noWrap/>
            <w:vAlign w:val="bottom"/>
            <w:hideMark/>
          </w:tcPr>
          <w:p w14:paraId="24FE8E8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110</w:t>
            </w:r>
          </w:p>
        </w:tc>
        <w:tc>
          <w:tcPr>
            <w:tcW w:w="520" w:type="dxa"/>
            <w:tcBorders>
              <w:top w:val="nil"/>
              <w:left w:val="nil"/>
              <w:bottom w:val="nil"/>
              <w:right w:val="nil"/>
            </w:tcBorders>
            <w:shd w:val="clear" w:color="auto" w:fill="auto"/>
            <w:noWrap/>
            <w:vAlign w:val="bottom"/>
            <w:hideMark/>
          </w:tcPr>
          <w:p w14:paraId="54ADCA19"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2A2EF5C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63</w:t>
            </w:r>
          </w:p>
        </w:tc>
        <w:tc>
          <w:tcPr>
            <w:tcW w:w="1300" w:type="dxa"/>
            <w:tcBorders>
              <w:top w:val="nil"/>
              <w:left w:val="nil"/>
              <w:bottom w:val="nil"/>
              <w:right w:val="nil"/>
            </w:tcBorders>
            <w:shd w:val="clear" w:color="auto" w:fill="auto"/>
            <w:noWrap/>
            <w:vAlign w:val="bottom"/>
            <w:hideMark/>
          </w:tcPr>
          <w:p w14:paraId="6696AA5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167</w:t>
            </w:r>
          </w:p>
        </w:tc>
        <w:tc>
          <w:tcPr>
            <w:tcW w:w="1300" w:type="dxa"/>
            <w:tcBorders>
              <w:top w:val="nil"/>
              <w:left w:val="nil"/>
              <w:bottom w:val="nil"/>
              <w:right w:val="nil"/>
            </w:tcBorders>
            <w:shd w:val="clear" w:color="auto" w:fill="auto"/>
            <w:noWrap/>
            <w:vAlign w:val="bottom"/>
            <w:hideMark/>
          </w:tcPr>
          <w:p w14:paraId="3D1141B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248</w:t>
            </w:r>
          </w:p>
        </w:tc>
      </w:tr>
      <w:tr w:rsidR="00BA4E22" w:rsidRPr="00BA4E22" w14:paraId="1D95B092" w14:textId="77777777" w:rsidTr="00317C22">
        <w:trPr>
          <w:cantSplit/>
        </w:trPr>
        <w:tc>
          <w:tcPr>
            <w:tcW w:w="1300" w:type="dxa"/>
            <w:tcBorders>
              <w:top w:val="nil"/>
              <w:left w:val="nil"/>
              <w:bottom w:val="nil"/>
              <w:right w:val="nil"/>
            </w:tcBorders>
            <w:shd w:val="clear" w:color="auto" w:fill="auto"/>
            <w:noWrap/>
            <w:vAlign w:val="bottom"/>
            <w:hideMark/>
          </w:tcPr>
          <w:p w14:paraId="21CA10E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w:t>
            </w:r>
          </w:p>
        </w:tc>
        <w:tc>
          <w:tcPr>
            <w:tcW w:w="1300" w:type="dxa"/>
            <w:tcBorders>
              <w:top w:val="nil"/>
              <w:left w:val="nil"/>
              <w:bottom w:val="nil"/>
              <w:right w:val="nil"/>
            </w:tcBorders>
            <w:shd w:val="clear" w:color="auto" w:fill="auto"/>
            <w:noWrap/>
            <w:vAlign w:val="bottom"/>
            <w:hideMark/>
          </w:tcPr>
          <w:p w14:paraId="5FF788F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121</w:t>
            </w:r>
          </w:p>
        </w:tc>
        <w:tc>
          <w:tcPr>
            <w:tcW w:w="1300" w:type="dxa"/>
            <w:tcBorders>
              <w:top w:val="nil"/>
              <w:left w:val="nil"/>
              <w:bottom w:val="nil"/>
              <w:right w:val="nil"/>
            </w:tcBorders>
            <w:shd w:val="clear" w:color="auto" w:fill="auto"/>
            <w:noWrap/>
            <w:vAlign w:val="bottom"/>
            <w:hideMark/>
          </w:tcPr>
          <w:p w14:paraId="364D7EA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140</w:t>
            </w:r>
          </w:p>
        </w:tc>
        <w:tc>
          <w:tcPr>
            <w:tcW w:w="520" w:type="dxa"/>
            <w:tcBorders>
              <w:top w:val="nil"/>
              <w:left w:val="nil"/>
              <w:bottom w:val="nil"/>
              <w:right w:val="nil"/>
            </w:tcBorders>
            <w:shd w:val="clear" w:color="auto" w:fill="auto"/>
            <w:noWrap/>
            <w:vAlign w:val="bottom"/>
            <w:hideMark/>
          </w:tcPr>
          <w:p w14:paraId="55FFFB12"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584FC2C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64</w:t>
            </w:r>
          </w:p>
        </w:tc>
        <w:tc>
          <w:tcPr>
            <w:tcW w:w="1300" w:type="dxa"/>
            <w:tcBorders>
              <w:top w:val="nil"/>
              <w:left w:val="nil"/>
              <w:bottom w:val="nil"/>
              <w:right w:val="nil"/>
            </w:tcBorders>
            <w:shd w:val="clear" w:color="auto" w:fill="auto"/>
            <w:noWrap/>
            <w:vAlign w:val="bottom"/>
            <w:hideMark/>
          </w:tcPr>
          <w:p w14:paraId="06F0DD1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184</w:t>
            </w:r>
          </w:p>
        </w:tc>
        <w:tc>
          <w:tcPr>
            <w:tcW w:w="1300" w:type="dxa"/>
            <w:tcBorders>
              <w:top w:val="nil"/>
              <w:left w:val="nil"/>
              <w:bottom w:val="nil"/>
              <w:right w:val="nil"/>
            </w:tcBorders>
            <w:shd w:val="clear" w:color="auto" w:fill="auto"/>
            <w:noWrap/>
            <w:vAlign w:val="bottom"/>
            <w:hideMark/>
          </w:tcPr>
          <w:p w14:paraId="615F3C3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223</w:t>
            </w:r>
          </w:p>
        </w:tc>
      </w:tr>
      <w:tr w:rsidR="00BA4E22" w:rsidRPr="00BA4E22" w14:paraId="67E1118F" w14:textId="77777777" w:rsidTr="00317C22">
        <w:trPr>
          <w:cantSplit/>
        </w:trPr>
        <w:tc>
          <w:tcPr>
            <w:tcW w:w="1300" w:type="dxa"/>
            <w:tcBorders>
              <w:top w:val="nil"/>
              <w:left w:val="nil"/>
              <w:bottom w:val="nil"/>
              <w:right w:val="nil"/>
            </w:tcBorders>
            <w:shd w:val="clear" w:color="auto" w:fill="auto"/>
            <w:noWrap/>
            <w:vAlign w:val="bottom"/>
            <w:hideMark/>
          </w:tcPr>
          <w:p w14:paraId="12A3996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22</w:t>
            </w:r>
          </w:p>
        </w:tc>
        <w:tc>
          <w:tcPr>
            <w:tcW w:w="1300" w:type="dxa"/>
            <w:tcBorders>
              <w:top w:val="nil"/>
              <w:left w:val="nil"/>
              <w:bottom w:val="nil"/>
              <w:right w:val="nil"/>
            </w:tcBorders>
            <w:shd w:val="clear" w:color="auto" w:fill="auto"/>
            <w:noWrap/>
            <w:vAlign w:val="bottom"/>
            <w:hideMark/>
          </w:tcPr>
          <w:p w14:paraId="2941898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113</w:t>
            </w:r>
          </w:p>
        </w:tc>
        <w:tc>
          <w:tcPr>
            <w:tcW w:w="1300" w:type="dxa"/>
            <w:tcBorders>
              <w:top w:val="nil"/>
              <w:left w:val="nil"/>
              <w:bottom w:val="nil"/>
              <w:right w:val="nil"/>
            </w:tcBorders>
            <w:shd w:val="clear" w:color="auto" w:fill="auto"/>
            <w:noWrap/>
            <w:vAlign w:val="bottom"/>
            <w:hideMark/>
          </w:tcPr>
          <w:p w14:paraId="5246740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147</w:t>
            </w:r>
          </w:p>
        </w:tc>
        <w:tc>
          <w:tcPr>
            <w:tcW w:w="520" w:type="dxa"/>
            <w:tcBorders>
              <w:top w:val="nil"/>
              <w:left w:val="nil"/>
              <w:bottom w:val="nil"/>
              <w:right w:val="nil"/>
            </w:tcBorders>
            <w:shd w:val="clear" w:color="auto" w:fill="auto"/>
            <w:noWrap/>
            <w:vAlign w:val="bottom"/>
            <w:hideMark/>
          </w:tcPr>
          <w:p w14:paraId="73DD5ABF"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DEF526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65</w:t>
            </w:r>
          </w:p>
        </w:tc>
        <w:tc>
          <w:tcPr>
            <w:tcW w:w="1300" w:type="dxa"/>
            <w:tcBorders>
              <w:top w:val="nil"/>
              <w:left w:val="nil"/>
              <w:bottom w:val="nil"/>
              <w:right w:val="nil"/>
            </w:tcBorders>
            <w:shd w:val="clear" w:color="auto" w:fill="auto"/>
            <w:noWrap/>
            <w:vAlign w:val="bottom"/>
            <w:hideMark/>
          </w:tcPr>
          <w:p w14:paraId="31397E4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190</w:t>
            </w:r>
          </w:p>
        </w:tc>
        <w:tc>
          <w:tcPr>
            <w:tcW w:w="1300" w:type="dxa"/>
            <w:tcBorders>
              <w:top w:val="nil"/>
              <w:left w:val="nil"/>
              <w:bottom w:val="nil"/>
              <w:right w:val="nil"/>
            </w:tcBorders>
            <w:shd w:val="clear" w:color="auto" w:fill="auto"/>
            <w:noWrap/>
            <w:vAlign w:val="bottom"/>
            <w:hideMark/>
          </w:tcPr>
          <w:p w14:paraId="05AD63F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233</w:t>
            </w:r>
          </w:p>
        </w:tc>
      </w:tr>
      <w:tr w:rsidR="00BA4E22" w:rsidRPr="00BA4E22" w14:paraId="12A47ACA" w14:textId="77777777" w:rsidTr="00317C22">
        <w:trPr>
          <w:cantSplit/>
        </w:trPr>
        <w:tc>
          <w:tcPr>
            <w:tcW w:w="1300" w:type="dxa"/>
            <w:tcBorders>
              <w:top w:val="nil"/>
              <w:left w:val="nil"/>
              <w:bottom w:val="nil"/>
              <w:right w:val="nil"/>
            </w:tcBorders>
            <w:shd w:val="clear" w:color="auto" w:fill="auto"/>
            <w:noWrap/>
            <w:vAlign w:val="bottom"/>
            <w:hideMark/>
          </w:tcPr>
          <w:p w14:paraId="406B8D7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w:t>
            </w:r>
          </w:p>
        </w:tc>
        <w:tc>
          <w:tcPr>
            <w:tcW w:w="1300" w:type="dxa"/>
            <w:tcBorders>
              <w:top w:val="nil"/>
              <w:left w:val="nil"/>
              <w:bottom w:val="nil"/>
              <w:right w:val="nil"/>
            </w:tcBorders>
            <w:shd w:val="clear" w:color="auto" w:fill="auto"/>
            <w:noWrap/>
            <w:vAlign w:val="bottom"/>
            <w:hideMark/>
          </w:tcPr>
          <w:p w14:paraId="791DF08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118</w:t>
            </w:r>
          </w:p>
        </w:tc>
        <w:tc>
          <w:tcPr>
            <w:tcW w:w="1300" w:type="dxa"/>
            <w:tcBorders>
              <w:top w:val="nil"/>
              <w:left w:val="nil"/>
              <w:bottom w:val="nil"/>
              <w:right w:val="nil"/>
            </w:tcBorders>
            <w:shd w:val="clear" w:color="auto" w:fill="auto"/>
            <w:noWrap/>
            <w:vAlign w:val="bottom"/>
            <w:hideMark/>
          </w:tcPr>
          <w:p w14:paraId="0CA0778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139</w:t>
            </w:r>
          </w:p>
        </w:tc>
        <w:tc>
          <w:tcPr>
            <w:tcW w:w="520" w:type="dxa"/>
            <w:tcBorders>
              <w:top w:val="nil"/>
              <w:left w:val="nil"/>
              <w:bottom w:val="nil"/>
              <w:right w:val="nil"/>
            </w:tcBorders>
            <w:shd w:val="clear" w:color="auto" w:fill="auto"/>
            <w:noWrap/>
            <w:vAlign w:val="bottom"/>
            <w:hideMark/>
          </w:tcPr>
          <w:p w14:paraId="03156669"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670675C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66</w:t>
            </w:r>
          </w:p>
        </w:tc>
        <w:tc>
          <w:tcPr>
            <w:tcW w:w="1300" w:type="dxa"/>
            <w:tcBorders>
              <w:top w:val="nil"/>
              <w:left w:val="nil"/>
              <w:bottom w:val="nil"/>
              <w:right w:val="nil"/>
            </w:tcBorders>
            <w:shd w:val="clear" w:color="auto" w:fill="auto"/>
            <w:noWrap/>
            <w:vAlign w:val="bottom"/>
            <w:hideMark/>
          </w:tcPr>
          <w:p w14:paraId="7DE03C0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184</w:t>
            </w:r>
          </w:p>
        </w:tc>
        <w:tc>
          <w:tcPr>
            <w:tcW w:w="1300" w:type="dxa"/>
            <w:tcBorders>
              <w:top w:val="nil"/>
              <w:left w:val="nil"/>
              <w:bottom w:val="nil"/>
              <w:right w:val="nil"/>
            </w:tcBorders>
            <w:shd w:val="clear" w:color="auto" w:fill="auto"/>
            <w:noWrap/>
            <w:vAlign w:val="bottom"/>
            <w:hideMark/>
          </w:tcPr>
          <w:p w14:paraId="1E6B3A3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230</w:t>
            </w:r>
          </w:p>
        </w:tc>
      </w:tr>
      <w:tr w:rsidR="00BA4E22" w:rsidRPr="00BA4E22" w14:paraId="2ED0A9F9" w14:textId="77777777" w:rsidTr="00317C22">
        <w:trPr>
          <w:cantSplit/>
        </w:trPr>
        <w:tc>
          <w:tcPr>
            <w:tcW w:w="1300" w:type="dxa"/>
            <w:tcBorders>
              <w:top w:val="nil"/>
              <w:left w:val="nil"/>
              <w:bottom w:val="nil"/>
              <w:right w:val="nil"/>
            </w:tcBorders>
            <w:shd w:val="clear" w:color="auto" w:fill="auto"/>
            <w:noWrap/>
            <w:vAlign w:val="bottom"/>
            <w:hideMark/>
          </w:tcPr>
          <w:p w14:paraId="4B075D1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24</w:t>
            </w:r>
          </w:p>
        </w:tc>
        <w:tc>
          <w:tcPr>
            <w:tcW w:w="1300" w:type="dxa"/>
            <w:tcBorders>
              <w:top w:val="nil"/>
              <w:left w:val="nil"/>
              <w:bottom w:val="nil"/>
              <w:right w:val="nil"/>
            </w:tcBorders>
            <w:shd w:val="clear" w:color="auto" w:fill="auto"/>
            <w:noWrap/>
            <w:vAlign w:val="bottom"/>
            <w:hideMark/>
          </w:tcPr>
          <w:p w14:paraId="748A2C2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114</w:t>
            </w:r>
          </w:p>
        </w:tc>
        <w:tc>
          <w:tcPr>
            <w:tcW w:w="1300" w:type="dxa"/>
            <w:tcBorders>
              <w:top w:val="nil"/>
              <w:left w:val="nil"/>
              <w:bottom w:val="nil"/>
              <w:right w:val="nil"/>
            </w:tcBorders>
            <w:shd w:val="clear" w:color="auto" w:fill="auto"/>
            <w:noWrap/>
            <w:vAlign w:val="bottom"/>
            <w:hideMark/>
          </w:tcPr>
          <w:p w14:paraId="73CD430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152</w:t>
            </w:r>
          </w:p>
        </w:tc>
        <w:tc>
          <w:tcPr>
            <w:tcW w:w="520" w:type="dxa"/>
            <w:tcBorders>
              <w:top w:val="nil"/>
              <w:left w:val="nil"/>
              <w:bottom w:val="nil"/>
              <w:right w:val="nil"/>
            </w:tcBorders>
            <w:shd w:val="clear" w:color="auto" w:fill="auto"/>
            <w:noWrap/>
            <w:vAlign w:val="bottom"/>
            <w:hideMark/>
          </w:tcPr>
          <w:p w14:paraId="2491B32C"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4935F0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67</w:t>
            </w:r>
          </w:p>
        </w:tc>
        <w:tc>
          <w:tcPr>
            <w:tcW w:w="1300" w:type="dxa"/>
            <w:tcBorders>
              <w:top w:val="nil"/>
              <w:left w:val="nil"/>
              <w:bottom w:val="nil"/>
              <w:right w:val="nil"/>
            </w:tcBorders>
            <w:shd w:val="clear" w:color="auto" w:fill="auto"/>
            <w:noWrap/>
            <w:vAlign w:val="bottom"/>
            <w:hideMark/>
          </w:tcPr>
          <w:p w14:paraId="24B234D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163</w:t>
            </w:r>
          </w:p>
        </w:tc>
        <w:tc>
          <w:tcPr>
            <w:tcW w:w="1300" w:type="dxa"/>
            <w:tcBorders>
              <w:top w:val="nil"/>
              <w:left w:val="nil"/>
              <w:bottom w:val="nil"/>
              <w:right w:val="nil"/>
            </w:tcBorders>
            <w:shd w:val="clear" w:color="auto" w:fill="auto"/>
            <w:noWrap/>
            <w:vAlign w:val="bottom"/>
            <w:hideMark/>
          </w:tcPr>
          <w:p w14:paraId="63A0E72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211</w:t>
            </w:r>
          </w:p>
        </w:tc>
      </w:tr>
      <w:tr w:rsidR="00BA4E22" w:rsidRPr="00BA4E22" w14:paraId="2E307DB5" w14:textId="77777777" w:rsidTr="00317C22">
        <w:trPr>
          <w:cantSplit/>
        </w:trPr>
        <w:tc>
          <w:tcPr>
            <w:tcW w:w="1300" w:type="dxa"/>
            <w:tcBorders>
              <w:top w:val="nil"/>
              <w:left w:val="nil"/>
              <w:bottom w:val="nil"/>
              <w:right w:val="nil"/>
            </w:tcBorders>
            <w:shd w:val="clear" w:color="auto" w:fill="auto"/>
            <w:noWrap/>
            <w:vAlign w:val="bottom"/>
            <w:hideMark/>
          </w:tcPr>
          <w:p w14:paraId="1615710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25</w:t>
            </w:r>
          </w:p>
        </w:tc>
        <w:tc>
          <w:tcPr>
            <w:tcW w:w="1300" w:type="dxa"/>
            <w:tcBorders>
              <w:top w:val="nil"/>
              <w:left w:val="nil"/>
              <w:bottom w:val="nil"/>
              <w:right w:val="nil"/>
            </w:tcBorders>
            <w:shd w:val="clear" w:color="auto" w:fill="auto"/>
            <w:noWrap/>
            <w:vAlign w:val="bottom"/>
            <w:hideMark/>
          </w:tcPr>
          <w:p w14:paraId="4F9DDC8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129</w:t>
            </w:r>
          </w:p>
        </w:tc>
        <w:tc>
          <w:tcPr>
            <w:tcW w:w="1300" w:type="dxa"/>
            <w:tcBorders>
              <w:top w:val="nil"/>
              <w:left w:val="nil"/>
              <w:bottom w:val="nil"/>
              <w:right w:val="nil"/>
            </w:tcBorders>
            <w:shd w:val="clear" w:color="auto" w:fill="auto"/>
            <w:noWrap/>
            <w:vAlign w:val="bottom"/>
            <w:hideMark/>
          </w:tcPr>
          <w:p w14:paraId="76220FB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178</w:t>
            </w:r>
          </w:p>
        </w:tc>
        <w:tc>
          <w:tcPr>
            <w:tcW w:w="520" w:type="dxa"/>
            <w:tcBorders>
              <w:top w:val="nil"/>
              <w:left w:val="nil"/>
              <w:bottom w:val="nil"/>
              <w:right w:val="nil"/>
            </w:tcBorders>
            <w:shd w:val="clear" w:color="auto" w:fill="auto"/>
            <w:noWrap/>
            <w:vAlign w:val="bottom"/>
            <w:hideMark/>
          </w:tcPr>
          <w:p w14:paraId="13C1D62B"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E41FEA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68</w:t>
            </w:r>
          </w:p>
        </w:tc>
        <w:tc>
          <w:tcPr>
            <w:tcW w:w="1300" w:type="dxa"/>
            <w:tcBorders>
              <w:top w:val="nil"/>
              <w:left w:val="nil"/>
              <w:bottom w:val="nil"/>
              <w:right w:val="nil"/>
            </w:tcBorders>
            <w:shd w:val="clear" w:color="auto" w:fill="auto"/>
            <w:noWrap/>
            <w:vAlign w:val="bottom"/>
            <w:hideMark/>
          </w:tcPr>
          <w:p w14:paraId="14D3D82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146</w:t>
            </w:r>
          </w:p>
        </w:tc>
        <w:tc>
          <w:tcPr>
            <w:tcW w:w="1300" w:type="dxa"/>
            <w:tcBorders>
              <w:top w:val="nil"/>
              <w:left w:val="nil"/>
              <w:bottom w:val="nil"/>
              <w:right w:val="nil"/>
            </w:tcBorders>
            <w:shd w:val="clear" w:color="auto" w:fill="auto"/>
            <w:noWrap/>
            <w:vAlign w:val="bottom"/>
            <w:hideMark/>
          </w:tcPr>
          <w:p w14:paraId="1E18884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188</w:t>
            </w:r>
          </w:p>
        </w:tc>
      </w:tr>
      <w:tr w:rsidR="00BA4E22" w:rsidRPr="00BA4E22" w14:paraId="30929589" w14:textId="77777777" w:rsidTr="00317C22">
        <w:trPr>
          <w:cantSplit/>
        </w:trPr>
        <w:tc>
          <w:tcPr>
            <w:tcW w:w="1300" w:type="dxa"/>
            <w:tcBorders>
              <w:top w:val="nil"/>
              <w:left w:val="nil"/>
              <w:bottom w:val="nil"/>
              <w:right w:val="nil"/>
            </w:tcBorders>
            <w:shd w:val="clear" w:color="auto" w:fill="auto"/>
            <w:noWrap/>
            <w:vAlign w:val="bottom"/>
            <w:hideMark/>
          </w:tcPr>
          <w:p w14:paraId="15535CE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26</w:t>
            </w:r>
          </w:p>
        </w:tc>
        <w:tc>
          <w:tcPr>
            <w:tcW w:w="1300" w:type="dxa"/>
            <w:tcBorders>
              <w:top w:val="nil"/>
              <w:left w:val="nil"/>
              <w:bottom w:val="nil"/>
              <w:right w:val="nil"/>
            </w:tcBorders>
            <w:shd w:val="clear" w:color="auto" w:fill="auto"/>
            <w:noWrap/>
            <w:vAlign w:val="bottom"/>
            <w:hideMark/>
          </w:tcPr>
          <w:p w14:paraId="3A1FBCB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135</w:t>
            </w:r>
          </w:p>
        </w:tc>
        <w:tc>
          <w:tcPr>
            <w:tcW w:w="1300" w:type="dxa"/>
            <w:tcBorders>
              <w:top w:val="nil"/>
              <w:left w:val="nil"/>
              <w:bottom w:val="nil"/>
              <w:right w:val="nil"/>
            </w:tcBorders>
            <w:shd w:val="clear" w:color="auto" w:fill="auto"/>
            <w:noWrap/>
            <w:vAlign w:val="bottom"/>
            <w:hideMark/>
          </w:tcPr>
          <w:p w14:paraId="6E97BE8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158</w:t>
            </w:r>
          </w:p>
        </w:tc>
        <w:tc>
          <w:tcPr>
            <w:tcW w:w="520" w:type="dxa"/>
            <w:tcBorders>
              <w:top w:val="nil"/>
              <w:left w:val="nil"/>
              <w:bottom w:val="nil"/>
              <w:right w:val="nil"/>
            </w:tcBorders>
            <w:shd w:val="clear" w:color="auto" w:fill="auto"/>
            <w:noWrap/>
            <w:vAlign w:val="bottom"/>
            <w:hideMark/>
          </w:tcPr>
          <w:p w14:paraId="4E751928"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7D5304B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69</w:t>
            </w:r>
          </w:p>
        </w:tc>
        <w:tc>
          <w:tcPr>
            <w:tcW w:w="1300" w:type="dxa"/>
            <w:tcBorders>
              <w:top w:val="nil"/>
              <w:left w:val="nil"/>
              <w:bottom w:val="nil"/>
              <w:right w:val="nil"/>
            </w:tcBorders>
            <w:shd w:val="clear" w:color="auto" w:fill="auto"/>
            <w:noWrap/>
            <w:vAlign w:val="bottom"/>
            <w:hideMark/>
          </w:tcPr>
          <w:p w14:paraId="74E9FED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145</w:t>
            </w:r>
          </w:p>
        </w:tc>
        <w:tc>
          <w:tcPr>
            <w:tcW w:w="1300" w:type="dxa"/>
            <w:tcBorders>
              <w:top w:val="nil"/>
              <w:left w:val="nil"/>
              <w:bottom w:val="nil"/>
              <w:right w:val="nil"/>
            </w:tcBorders>
            <w:shd w:val="clear" w:color="auto" w:fill="auto"/>
            <w:noWrap/>
            <w:vAlign w:val="bottom"/>
            <w:hideMark/>
          </w:tcPr>
          <w:p w14:paraId="4FE21D8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181</w:t>
            </w:r>
          </w:p>
        </w:tc>
      </w:tr>
      <w:tr w:rsidR="00BA4E22" w:rsidRPr="00BA4E22" w14:paraId="02EDF679" w14:textId="77777777" w:rsidTr="00317C22">
        <w:trPr>
          <w:cantSplit/>
        </w:trPr>
        <w:tc>
          <w:tcPr>
            <w:tcW w:w="1300" w:type="dxa"/>
            <w:tcBorders>
              <w:top w:val="nil"/>
              <w:left w:val="nil"/>
              <w:bottom w:val="nil"/>
              <w:right w:val="nil"/>
            </w:tcBorders>
            <w:shd w:val="clear" w:color="auto" w:fill="auto"/>
            <w:noWrap/>
            <w:vAlign w:val="bottom"/>
            <w:hideMark/>
          </w:tcPr>
          <w:p w14:paraId="027F810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27</w:t>
            </w:r>
          </w:p>
        </w:tc>
        <w:tc>
          <w:tcPr>
            <w:tcW w:w="1300" w:type="dxa"/>
            <w:tcBorders>
              <w:top w:val="nil"/>
              <w:left w:val="nil"/>
              <w:bottom w:val="nil"/>
              <w:right w:val="nil"/>
            </w:tcBorders>
            <w:shd w:val="clear" w:color="auto" w:fill="auto"/>
            <w:noWrap/>
            <w:vAlign w:val="bottom"/>
            <w:hideMark/>
          </w:tcPr>
          <w:p w14:paraId="70860F0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126</w:t>
            </w:r>
          </w:p>
        </w:tc>
        <w:tc>
          <w:tcPr>
            <w:tcW w:w="1300" w:type="dxa"/>
            <w:tcBorders>
              <w:top w:val="nil"/>
              <w:left w:val="nil"/>
              <w:bottom w:val="nil"/>
              <w:right w:val="nil"/>
            </w:tcBorders>
            <w:shd w:val="clear" w:color="auto" w:fill="auto"/>
            <w:noWrap/>
            <w:vAlign w:val="bottom"/>
            <w:hideMark/>
          </w:tcPr>
          <w:p w14:paraId="61FC95A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191</w:t>
            </w:r>
          </w:p>
        </w:tc>
        <w:tc>
          <w:tcPr>
            <w:tcW w:w="520" w:type="dxa"/>
            <w:tcBorders>
              <w:top w:val="nil"/>
              <w:left w:val="nil"/>
              <w:bottom w:val="nil"/>
              <w:right w:val="nil"/>
            </w:tcBorders>
            <w:shd w:val="clear" w:color="auto" w:fill="auto"/>
            <w:noWrap/>
            <w:vAlign w:val="bottom"/>
            <w:hideMark/>
          </w:tcPr>
          <w:p w14:paraId="32062B78"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31BE617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70</w:t>
            </w:r>
          </w:p>
        </w:tc>
        <w:tc>
          <w:tcPr>
            <w:tcW w:w="1300" w:type="dxa"/>
            <w:tcBorders>
              <w:top w:val="nil"/>
              <w:left w:val="nil"/>
              <w:bottom w:val="nil"/>
              <w:right w:val="nil"/>
            </w:tcBorders>
            <w:shd w:val="clear" w:color="auto" w:fill="auto"/>
            <w:noWrap/>
            <w:vAlign w:val="bottom"/>
            <w:hideMark/>
          </w:tcPr>
          <w:p w14:paraId="6FAE58B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144</w:t>
            </w:r>
          </w:p>
        </w:tc>
        <w:tc>
          <w:tcPr>
            <w:tcW w:w="1300" w:type="dxa"/>
            <w:tcBorders>
              <w:top w:val="nil"/>
              <w:left w:val="nil"/>
              <w:bottom w:val="nil"/>
              <w:right w:val="nil"/>
            </w:tcBorders>
            <w:shd w:val="clear" w:color="auto" w:fill="auto"/>
            <w:noWrap/>
            <w:vAlign w:val="bottom"/>
            <w:hideMark/>
          </w:tcPr>
          <w:p w14:paraId="0E8E44B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181</w:t>
            </w:r>
          </w:p>
        </w:tc>
      </w:tr>
      <w:tr w:rsidR="00BA4E22" w:rsidRPr="00BA4E22" w14:paraId="26369367" w14:textId="77777777" w:rsidTr="00317C22">
        <w:trPr>
          <w:cantSplit/>
        </w:trPr>
        <w:tc>
          <w:tcPr>
            <w:tcW w:w="1300" w:type="dxa"/>
            <w:tcBorders>
              <w:top w:val="nil"/>
              <w:left w:val="nil"/>
              <w:bottom w:val="nil"/>
              <w:right w:val="nil"/>
            </w:tcBorders>
            <w:shd w:val="clear" w:color="auto" w:fill="auto"/>
            <w:noWrap/>
            <w:vAlign w:val="bottom"/>
            <w:hideMark/>
          </w:tcPr>
          <w:p w14:paraId="7E152DF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28</w:t>
            </w:r>
          </w:p>
        </w:tc>
        <w:tc>
          <w:tcPr>
            <w:tcW w:w="1300" w:type="dxa"/>
            <w:tcBorders>
              <w:top w:val="nil"/>
              <w:left w:val="nil"/>
              <w:bottom w:val="nil"/>
              <w:right w:val="nil"/>
            </w:tcBorders>
            <w:shd w:val="clear" w:color="auto" w:fill="auto"/>
            <w:noWrap/>
            <w:vAlign w:val="bottom"/>
            <w:hideMark/>
          </w:tcPr>
          <w:p w14:paraId="0D91247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157</w:t>
            </w:r>
          </w:p>
        </w:tc>
        <w:tc>
          <w:tcPr>
            <w:tcW w:w="1300" w:type="dxa"/>
            <w:tcBorders>
              <w:top w:val="nil"/>
              <w:left w:val="nil"/>
              <w:bottom w:val="nil"/>
              <w:right w:val="nil"/>
            </w:tcBorders>
            <w:shd w:val="clear" w:color="auto" w:fill="auto"/>
            <w:noWrap/>
            <w:vAlign w:val="bottom"/>
            <w:hideMark/>
          </w:tcPr>
          <w:p w14:paraId="142FC70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191</w:t>
            </w:r>
          </w:p>
        </w:tc>
        <w:tc>
          <w:tcPr>
            <w:tcW w:w="520" w:type="dxa"/>
            <w:tcBorders>
              <w:top w:val="nil"/>
              <w:left w:val="nil"/>
              <w:bottom w:val="nil"/>
              <w:right w:val="nil"/>
            </w:tcBorders>
            <w:shd w:val="clear" w:color="auto" w:fill="auto"/>
            <w:noWrap/>
            <w:vAlign w:val="bottom"/>
            <w:hideMark/>
          </w:tcPr>
          <w:p w14:paraId="07F28E44"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7F4887D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71</w:t>
            </w:r>
          </w:p>
        </w:tc>
        <w:tc>
          <w:tcPr>
            <w:tcW w:w="1300" w:type="dxa"/>
            <w:tcBorders>
              <w:top w:val="nil"/>
              <w:left w:val="nil"/>
              <w:bottom w:val="nil"/>
              <w:right w:val="nil"/>
            </w:tcBorders>
            <w:shd w:val="clear" w:color="auto" w:fill="auto"/>
            <w:noWrap/>
            <w:vAlign w:val="bottom"/>
            <w:hideMark/>
          </w:tcPr>
          <w:p w14:paraId="1C8F30D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103</w:t>
            </w:r>
          </w:p>
        </w:tc>
        <w:tc>
          <w:tcPr>
            <w:tcW w:w="1300" w:type="dxa"/>
            <w:tcBorders>
              <w:top w:val="nil"/>
              <w:left w:val="nil"/>
              <w:bottom w:val="nil"/>
              <w:right w:val="nil"/>
            </w:tcBorders>
            <w:shd w:val="clear" w:color="auto" w:fill="auto"/>
            <w:noWrap/>
            <w:vAlign w:val="bottom"/>
            <w:hideMark/>
          </w:tcPr>
          <w:p w14:paraId="3C51B91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163</w:t>
            </w:r>
          </w:p>
        </w:tc>
      </w:tr>
      <w:tr w:rsidR="00BA4E22" w:rsidRPr="00BA4E22" w14:paraId="7A2D9F93" w14:textId="77777777" w:rsidTr="00317C22">
        <w:trPr>
          <w:cantSplit/>
        </w:trPr>
        <w:tc>
          <w:tcPr>
            <w:tcW w:w="1300" w:type="dxa"/>
            <w:tcBorders>
              <w:top w:val="nil"/>
              <w:left w:val="nil"/>
              <w:bottom w:val="nil"/>
              <w:right w:val="nil"/>
            </w:tcBorders>
            <w:shd w:val="clear" w:color="auto" w:fill="auto"/>
            <w:noWrap/>
            <w:vAlign w:val="bottom"/>
            <w:hideMark/>
          </w:tcPr>
          <w:p w14:paraId="16C1AD6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29</w:t>
            </w:r>
          </w:p>
        </w:tc>
        <w:tc>
          <w:tcPr>
            <w:tcW w:w="1300" w:type="dxa"/>
            <w:tcBorders>
              <w:top w:val="nil"/>
              <w:left w:val="nil"/>
              <w:bottom w:val="nil"/>
              <w:right w:val="nil"/>
            </w:tcBorders>
            <w:shd w:val="clear" w:color="auto" w:fill="auto"/>
            <w:noWrap/>
            <w:vAlign w:val="bottom"/>
            <w:hideMark/>
          </w:tcPr>
          <w:p w14:paraId="1F266A9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150</w:t>
            </w:r>
          </w:p>
        </w:tc>
        <w:tc>
          <w:tcPr>
            <w:tcW w:w="1300" w:type="dxa"/>
            <w:tcBorders>
              <w:top w:val="nil"/>
              <w:left w:val="nil"/>
              <w:bottom w:val="nil"/>
              <w:right w:val="nil"/>
            </w:tcBorders>
            <w:shd w:val="clear" w:color="auto" w:fill="auto"/>
            <w:noWrap/>
            <w:vAlign w:val="bottom"/>
            <w:hideMark/>
          </w:tcPr>
          <w:p w14:paraId="1FD2F2D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194</w:t>
            </w:r>
          </w:p>
        </w:tc>
        <w:tc>
          <w:tcPr>
            <w:tcW w:w="520" w:type="dxa"/>
            <w:tcBorders>
              <w:top w:val="nil"/>
              <w:left w:val="nil"/>
              <w:bottom w:val="nil"/>
              <w:right w:val="nil"/>
            </w:tcBorders>
            <w:shd w:val="clear" w:color="auto" w:fill="auto"/>
            <w:noWrap/>
            <w:vAlign w:val="bottom"/>
            <w:hideMark/>
          </w:tcPr>
          <w:p w14:paraId="7ABB552E"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7FBFCA8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72</w:t>
            </w:r>
          </w:p>
        </w:tc>
        <w:tc>
          <w:tcPr>
            <w:tcW w:w="1300" w:type="dxa"/>
            <w:tcBorders>
              <w:top w:val="nil"/>
              <w:left w:val="nil"/>
              <w:bottom w:val="nil"/>
              <w:right w:val="nil"/>
            </w:tcBorders>
            <w:shd w:val="clear" w:color="auto" w:fill="auto"/>
            <w:noWrap/>
            <w:vAlign w:val="bottom"/>
            <w:hideMark/>
          </w:tcPr>
          <w:p w14:paraId="7BCAABB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90</w:t>
            </w:r>
          </w:p>
        </w:tc>
        <w:tc>
          <w:tcPr>
            <w:tcW w:w="1300" w:type="dxa"/>
            <w:tcBorders>
              <w:top w:val="nil"/>
              <w:left w:val="nil"/>
              <w:bottom w:val="nil"/>
              <w:right w:val="nil"/>
            </w:tcBorders>
            <w:shd w:val="clear" w:color="auto" w:fill="auto"/>
            <w:noWrap/>
            <w:vAlign w:val="bottom"/>
            <w:hideMark/>
          </w:tcPr>
          <w:p w14:paraId="292B38C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161</w:t>
            </w:r>
          </w:p>
        </w:tc>
      </w:tr>
      <w:tr w:rsidR="00BA4E22" w:rsidRPr="00BA4E22" w14:paraId="6F4D691E" w14:textId="77777777" w:rsidTr="00317C22">
        <w:trPr>
          <w:cantSplit/>
        </w:trPr>
        <w:tc>
          <w:tcPr>
            <w:tcW w:w="1300" w:type="dxa"/>
            <w:tcBorders>
              <w:top w:val="nil"/>
              <w:left w:val="nil"/>
              <w:bottom w:val="nil"/>
              <w:right w:val="nil"/>
            </w:tcBorders>
            <w:shd w:val="clear" w:color="auto" w:fill="auto"/>
            <w:noWrap/>
            <w:vAlign w:val="bottom"/>
            <w:hideMark/>
          </w:tcPr>
          <w:p w14:paraId="434FCB9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30</w:t>
            </w:r>
          </w:p>
        </w:tc>
        <w:tc>
          <w:tcPr>
            <w:tcW w:w="1300" w:type="dxa"/>
            <w:tcBorders>
              <w:top w:val="nil"/>
              <w:left w:val="nil"/>
              <w:bottom w:val="nil"/>
              <w:right w:val="nil"/>
            </w:tcBorders>
            <w:shd w:val="clear" w:color="auto" w:fill="auto"/>
            <w:noWrap/>
            <w:vAlign w:val="bottom"/>
            <w:hideMark/>
          </w:tcPr>
          <w:p w14:paraId="6741CC4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155</w:t>
            </w:r>
          </w:p>
        </w:tc>
        <w:tc>
          <w:tcPr>
            <w:tcW w:w="1300" w:type="dxa"/>
            <w:tcBorders>
              <w:top w:val="nil"/>
              <w:left w:val="nil"/>
              <w:bottom w:val="nil"/>
              <w:right w:val="nil"/>
            </w:tcBorders>
            <w:shd w:val="clear" w:color="auto" w:fill="auto"/>
            <w:noWrap/>
            <w:vAlign w:val="bottom"/>
            <w:hideMark/>
          </w:tcPr>
          <w:p w14:paraId="6247702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213</w:t>
            </w:r>
          </w:p>
        </w:tc>
        <w:tc>
          <w:tcPr>
            <w:tcW w:w="520" w:type="dxa"/>
            <w:tcBorders>
              <w:top w:val="nil"/>
              <w:left w:val="nil"/>
              <w:bottom w:val="nil"/>
              <w:right w:val="nil"/>
            </w:tcBorders>
            <w:shd w:val="clear" w:color="auto" w:fill="auto"/>
            <w:noWrap/>
            <w:vAlign w:val="bottom"/>
            <w:hideMark/>
          </w:tcPr>
          <w:p w14:paraId="69A65B43"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2E08040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73</w:t>
            </w:r>
          </w:p>
        </w:tc>
        <w:tc>
          <w:tcPr>
            <w:tcW w:w="1300" w:type="dxa"/>
            <w:tcBorders>
              <w:top w:val="nil"/>
              <w:left w:val="nil"/>
              <w:bottom w:val="nil"/>
              <w:right w:val="nil"/>
            </w:tcBorders>
            <w:shd w:val="clear" w:color="auto" w:fill="auto"/>
            <w:noWrap/>
            <w:vAlign w:val="bottom"/>
            <w:hideMark/>
          </w:tcPr>
          <w:p w14:paraId="048FC04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136</w:t>
            </w:r>
          </w:p>
        </w:tc>
        <w:tc>
          <w:tcPr>
            <w:tcW w:w="1300" w:type="dxa"/>
            <w:tcBorders>
              <w:top w:val="nil"/>
              <w:left w:val="nil"/>
              <w:bottom w:val="nil"/>
              <w:right w:val="nil"/>
            </w:tcBorders>
            <w:shd w:val="clear" w:color="auto" w:fill="auto"/>
            <w:noWrap/>
            <w:vAlign w:val="bottom"/>
            <w:hideMark/>
          </w:tcPr>
          <w:p w14:paraId="19D0836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146</w:t>
            </w:r>
          </w:p>
        </w:tc>
      </w:tr>
      <w:tr w:rsidR="00BA4E22" w:rsidRPr="00BA4E22" w14:paraId="4AA5B3C2" w14:textId="77777777" w:rsidTr="00317C22">
        <w:trPr>
          <w:cantSplit/>
        </w:trPr>
        <w:tc>
          <w:tcPr>
            <w:tcW w:w="1300" w:type="dxa"/>
            <w:tcBorders>
              <w:top w:val="nil"/>
              <w:left w:val="nil"/>
              <w:bottom w:val="nil"/>
              <w:right w:val="nil"/>
            </w:tcBorders>
            <w:shd w:val="clear" w:color="auto" w:fill="auto"/>
            <w:noWrap/>
            <w:vAlign w:val="bottom"/>
            <w:hideMark/>
          </w:tcPr>
          <w:p w14:paraId="07C6A34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w:t>
            </w:r>
          </w:p>
        </w:tc>
        <w:tc>
          <w:tcPr>
            <w:tcW w:w="1300" w:type="dxa"/>
            <w:tcBorders>
              <w:top w:val="nil"/>
              <w:left w:val="nil"/>
              <w:bottom w:val="nil"/>
              <w:right w:val="nil"/>
            </w:tcBorders>
            <w:shd w:val="clear" w:color="auto" w:fill="auto"/>
            <w:noWrap/>
            <w:vAlign w:val="bottom"/>
            <w:hideMark/>
          </w:tcPr>
          <w:p w14:paraId="6A72AC8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131</w:t>
            </w:r>
          </w:p>
        </w:tc>
        <w:tc>
          <w:tcPr>
            <w:tcW w:w="1300" w:type="dxa"/>
            <w:tcBorders>
              <w:top w:val="nil"/>
              <w:left w:val="nil"/>
              <w:bottom w:val="nil"/>
              <w:right w:val="nil"/>
            </w:tcBorders>
            <w:shd w:val="clear" w:color="auto" w:fill="auto"/>
            <w:noWrap/>
            <w:vAlign w:val="bottom"/>
            <w:hideMark/>
          </w:tcPr>
          <w:p w14:paraId="4C520A7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243</w:t>
            </w:r>
          </w:p>
        </w:tc>
        <w:tc>
          <w:tcPr>
            <w:tcW w:w="520" w:type="dxa"/>
            <w:tcBorders>
              <w:top w:val="nil"/>
              <w:left w:val="nil"/>
              <w:bottom w:val="nil"/>
              <w:right w:val="nil"/>
            </w:tcBorders>
            <w:shd w:val="clear" w:color="auto" w:fill="auto"/>
            <w:noWrap/>
            <w:vAlign w:val="bottom"/>
            <w:hideMark/>
          </w:tcPr>
          <w:p w14:paraId="02694DE2"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1CDD7CD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74</w:t>
            </w:r>
          </w:p>
        </w:tc>
        <w:tc>
          <w:tcPr>
            <w:tcW w:w="1300" w:type="dxa"/>
            <w:tcBorders>
              <w:top w:val="nil"/>
              <w:left w:val="nil"/>
              <w:bottom w:val="nil"/>
              <w:right w:val="nil"/>
            </w:tcBorders>
            <w:shd w:val="clear" w:color="auto" w:fill="auto"/>
            <w:noWrap/>
            <w:vAlign w:val="bottom"/>
            <w:hideMark/>
          </w:tcPr>
          <w:p w14:paraId="780C191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96</w:t>
            </w:r>
          </w:p>
        </w:tc>
        <w:tc>
          <w:tcPr>
            <w:tcW w:w="1300" w:type="dxa"/>
            <w:tcBorders>
              <w:top w:val="nil"/>
              <w:left w:val="nil"/>
              <w:bottom w:val="nil"/>
              <w:right w:val="nil"/>
            </w:tcBorders>
            <w:shd w:val="clear" w:color="auto" w:fill="auto"/>
            <w:noWrap/>
            <w:vAlign w:val="bottom"/>
            <w:hideMark/>
          </w:tcPr>
          <w:p w14:paraId="032C041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123</w:t>
            </w:r>
          </w:p>
        </w:tc>
      </w:tr>
      <w:tr w:rsidR="00BA4E22" w:rsidRPr="00BA4E22" w14:paraId="677A40EC" w14:textId="77777777" w:rsidTr="00317C22">
        <w:trPr>
          <w:cantSplit/>
        </w:trPr>
        <w:tc>
          <w:tcPr>
            <w:tcW w:w="1300" w:type="dxa"/>
            <w:tcBorders>
              <w:top w:val="nil"/>
              <w:left w:val="nil"/>
              <w:bottom w:val="nil"/>
              <w:right w:val="nil"/>
            </w:tcBorders>
            <w:shd w:val="clear" w:color="auto" w:fill="auto"/>
            <w:noWrap/>
            <w:vAlign w:val="bottom"/>
            <w:hideMark/>
          </w:tcPr>
          <w:p w14:paraId="51EDE54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32</w:t>
            </w:r>
          </w:p>
        </w:tc>
        <w:tc>
          <w:tcPr>
            <w:tcW w:w="1300" w:type="dxa"/>
            <w:tcBorders>
              <w:top w:val="nil"/>
              <w:left w:val="nil"/>
              <w:bottom w:val="nil"/>
              <w:right w:val="nil"/>
            </w:tcBorders>
            <w:shd w:val="clear" w:color="auto" w:fill="auto"/>
            <w:noWrap/>
            <w:vAlign w:val="bottom"/>
            <w:hideMark/>
          </w:tcPr>
          <w:p w14:paraId="2E82CB4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196</w:t>
            </w:r>
          </w:p>
        </w:tc>
        <w:tc>
          <w:tcPr>
            <w:tcW w:w="1300" w:type="dxa"/>
            <w:tcBorders>
              <w:top w:val="nil"/>
              <w:left w:val="nil"/>
              <w:bottom w:val="nil"/>
              <w:right w:val="nil"/>
            </w:tcBorders>
            <w:shd w:val="clear" w:color="auto" w:fill="auto"/>
            <w:noWrap/>
            <w:vAlign w:val="bottom"/>
            <w:hideMark/>
          </w:tcPr>
          <w:p w14:paraId="6ABD833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232</w:t>
            </w:r>
          </w:p>
        </w:tc>
        <w:tc>
          <w:tcPr>
            <w:tcW w:w="520" w:type="dxa"/>
            <w:tcBorders>
              <w:top w:val="nil"/>
              <w:left w:val="nil"/>
              <w:bottom w:val="nil"/>
              <w:right w:val="nil"/>
            </w:tcBorders>
            <w:shd w:val="clear" w:color="auto" w:fill="auto"/>
            <w:noWrap/>
            <w:vAlign w:val="bottom"/>
            <w:hideMark/>
          </w:tcPr>
          <w:p w14:paraId="035FAAB4"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824671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75</w:t>
            </w:r>
          </w:p>
        </w:tc>
        <w:tc>
          <w:tcPr>
            <w:tcW w:w="1300" w:type="dxa"/>
            <w:tcBorders>
              <w:top w:val="nil"/>
              <w:left w:val="nil"/>
              <w:bottom w:val="nil"/>
              <w:right w:val="nil"/>
            </w:tcBorders>
            <w:shd w:val="clear" w:color="auto" w:fill="auto"/>
            <w:noWrap/>
            <w:vAlign w:val="bottom"/>
            <w:hideMark/>
          </w:tcPr>
          <w:p w14:paraId="779319C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93</w:t>
            </w:r>
          </w:p>
        </w:tc>
        <w:tc>
          <w:tcPr>
            <w:tcW w:w="1300" w:type="dxa"/>
            <w:tcBorders>
              <w:top w:val="nil"/>
              <w:left w:val="nil"/>
              <w:bottom w:val="nil"/>
              <w:right w:val="nil"/>
            </w:tcBorders>
            <w:shd w:val="clear" w:color="auto" w:fill="auto"/>
            <w:noWrap/>
            <w:vAlign w:val="bottom"/>
            <w:hideMark/>
          </w:tcPr>
          <w:p w14:paraId="61507A8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122</w:t>
            </w:r>
          </w:p>
        </w:tc>
      </w:tr>
      <w:tr w:rsidR="00BA4E22" w:rsidRPr="00BA4E22" w14:paraId="02C1503E" w14:textId="77777777" w:rsidTr="00317C22">
        <w:trPr>
          <w:cantSplit/>
        </w:trPr>
        <w:tc>
          <w:tcPr>
            <w:tcW w:w="1300" w:type="dxa"/>
            <w:tcBorders>
              <w:top w:val="nil"/>
              <w:left w:val="nil"/>
              <w:bottom w:val="nil"/>
              <w:right w:val="nil"/>
            </w:tcBorders>
            <w:shd w:val="clear" w:color="auto" w:fill="auto"/>
            <w:noWrap/>
            <w:vAlign w:val="bottom"/>
            <w:hideMark/>
          </w:tcPr>
          <w:p w14:paraId="5819856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33</w:t>
            </w:r>
          </w:p>
        </w:tc>
        <w:tc>
          <w:tcPr>
            <w:tcW w:w="1300" w:type="dxa"/>
            <w:tcBorders>
              <w:top w:val="nil"/>
              <w:left w:val="nil"/>
              <w:bottom w:val="nil"/>
              <w:right w:val="nil"/>
            </w:tcBorders>
            <w:shd w:val="clear" w:color="auto" w:fill="auto"/>
            <w:noWrap/>
            <w:vAlign w:val="bottom"/>
            <w:hideMark/>
          </w:tcPr>
          <w:p w14:paraId="6620DC2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196</w:t>
            </w:r>
          </w:p>
        </w:tc>
        <w:tc>
          <w:tcPr>
            <w:tcW w:w="1300" w:type="dxa"/>
            <w:tcBorders>
              <w:top w:val="nil"/>
              <w:left w:val="nil"/>
              <w:bottom w:val="nil"/>
              <w:right w:val="nil"/>
            </w:tcBorders>
            <w:shd w:val="clear" w:color="auto" w:fill="auto"/>
            <w:noWrap/>
            <w:vAlign w:val="bottom"/>
            <w:hideMark/>
          </w:tcPr>
          <w:p w14:paraId="15AA7C1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273</w:t>
            </w:r>
          </w:p>
        </w:tc>
        <w:tc>
          <w:tcPr>
            <w:tcW w:w="520" w:type="dxa"/>
            <w:tcBorders>
              <w:top w:val="nil"/>
              <w:left w:val="nil"/>
              <w:bottom w:val="nil"/>
              <w:right w:val="nil"/>
            </w:tcBorders>
            <w:shd w:val="clear" w:color="auto" w:fill="auto"/>
            <w:noWrap/>
            <w:vAlign w:val="bottom"/>
            <w:hideMark/>
          </w:tcPr>
          <w:p w14:paraId="48665EFC"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1A56B5F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76</w:t>
            </w:r>
          </w:p>
        </w:tc>
        <w:tc>
          <w:tcPr>
            <w:tcW w:w="1300" w:type="dxa"/>
            <w:tcBorders>
              <w:top w:val="nil"/>
              <w:left w:val="nil"/>
              <w:bottom w:val="nil"/>
              <w:right w:val="nil"/>
            </w:tcBorders>
            <w:shd w:val="clear" w:color="auto" w:fill="auto"/>
            <w:noWrap/>
            <w:vAlign w:val="bottom"/>
            <w:hideMark/>
          </w:tcPr>
          <w:p w14:paraId="0B8FF5C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100</w:t>
            </w:r>
          </w:p>
        </w:tc>
        <w:tc>
          <w:tcPr>
            <w:tcW w:w="1300" w:type="dxa"/>
            <w:tcBorders>
              <w:top w:val="nil"/>
              <w:left w:val="nil"/>
              <w:bottom w:val="nil"/>
              <w:right w:val="nil"/>
            </w:tcBorders>
            <w:shd w:val="clear" w:color="auto" w:fill="auto"/>
            <w:noWrap/>
            <w:vAlign w:val="bottom"/>
            <w:hideMark/>
          </w:tcPr>
          <w:p w14:paraId="2CD5022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127</w:t>
            </w:r>
          </w:p>
        </w:tc>
      </w:tr>
      <w:tr w:rsidR="00BA4E22" w:rsidRPr="00BA4E22" w14:paraId="02DADA39" w14:textId="77777777" w:rsidTr="00317C22">
        <w:trPr>
          <w:cantSplit/>
        </w:trPr>
        <w:tc>
          <w:tcPr>
            <w:tcW w:w="1300" w:type="dxa"/>
            <w:tcBorders>
              <w:top w:val="nil"/>
              <w:left w:val="nil"/>
              <w:bottom w:val="nil"/>
              <w:right w:val="nil"/>
            </w:tcBorders>
            <w:shd w:val="clear" w:color="auto" w:fill="auto"/>
            <w:noWrap/>
            <w:vAlign w:val="bottom"/>
            <w:hideMark/>
          </w:tcPr>
          <w:p w14:paraId="4D30107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34</w:t>
            </w:r>
          </w:p>
        </w:tc>
        <w:tc>
          <w:tcPr>
            <w:tcW w:w="1300" w:type="dxa"/>
            <w:tcBorders>
              <w:top w:val="nil"/>
              <w:left w:val="nil"/>
              <w:bottom w:val="nil"/>
              <w:right w:val="nil"/>
            </w:tcBorders>
            <w:shd w:val="clear" w:color="auto" w:fill="auto"/>
            <w:noWrap/>
            <w:vAlign w:val="bottom"/>
            <w:hideMark/>
          </w:tcPr>
          <w:p w14:paraId="47F4C36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193</w:t>
            </w:r>
          </w:p>
        </w:tc>
        <w:tc>
          <w:tcPr>
            <w:tcW w:w="1300" w:type="dxa"/>
            <w:tcBorders>
              <w:top w:val="nil"/>
              <w:left w:val="nil"/>
              <w:bottom w:val="nil"/>
              <w:right w:val="nil"/>
            </w:tcBorders>
            <w:shd w:val="clear" w:color="auto" w:fill="auto"/>
            <w:noWrap/>
            <w:vAlign w:val="bottom"/>
            <w:hideMark/>
          </w:tcPr>
          <w:p w14:paraId="13F9484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257</w:t>
            </w:r>
          </w:p>
        </w:tc>
        <w:tc>
          <w:tcPr>
            <w:tcW w:w="520" w:type="dxa"/>
            <w:tcBorders>
              <w:top w:val="nil"/>
              <w:left w:val="nil"/>
              <w:bottom w:val="nil"/>
              <w:right w:val="nil"/>
            </w:tcBorders>
            <w:shd w:val="clear" w:color="auto" w:fill="auto"/>
            <w:noWrap/>
            <w:vAlign w:val="bottom"/>
            <w:hideMark/>
          </w:tcPr>
          <w:p w14:paraId="5D565096"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535E7C4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77</w:t>
            </w:r>
          </w:p>
        </w:tc>
        <w:tc>
          <w:tcPr>
            <w:tcW w:w="1300" w:type="dxa"/>
            <w:tcBorders>
              <w:top w:val="nil"/>
              <w:left w:val="nil"/>
              <w:bottom w:val="nil"/>
              <w:right w:val="nil"/>
            </w:tcBorders>
            <w:shd w:val="clear" w:color="auto" w:fill="auto"/>
            <w:noWrap/>
            <w:vAlign w:val="bottom"/>
            <w:hideMark/>
          </w:tcPr>
          <w:p w14:paraId="6AD3B92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98</w:t>
            </w:r>
          </w:p>
        </w:tc>
        <w:tc>
          <w:tcPr>
            <w:tcW w:w="1300" w:type="dxa"/>
            <w:tcBorders>
              <w:top w:val="nil"/>
              <w:left w:val="nil"/>
              <w:bottom w:val="nil"/>
              <w:right w:val="nil"/>
            </w:tcBorders>
            <w:shd w:val="clear" w:color="auto" w:fill="auto"/>
            <w:noWrap/>
            <w:vAlign w:val="bottom"/>
            <w:hideMark/>
          </w:tcPr>
          <w:p w14:paraId="577371A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111</w:t>
            </w:r>
          </w:p>
        </w:tc>
      </w:tr>
      <w:tr w:rsidR="00BA4E22" w:rsidRPr="00BA4E22" w14:paraId="36A18421" w14:textId="77777777" w:rsidTr="00317C22">
        <w:trPr>
          <w:cantSplit/>
        </w:trPr>
        <w:tc>
          <w:tcPr>
            <w:tcW w:w="1300" w:type="dxa"/>
            <w:tcBorders>
              <w:top w:val="nil"/>
              <w:left w:val="nil"/>
              <w:bottom w:val="nil"/>
              <w:right w:val="nil"/>
            </w:tcBorders>
            <w:shd w:val="clear" w:color="auto" w:fill="auto"/>
            <w:noWrap/>
            <w:vAlign w:val="bottom"/>
            <w:hideMark/>
          </w:tcPr>
          <w:p w14:paraId="20F2810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35</w:t>
            </w:r>
          </w:p>
        </w:tc>
        <w:tc>
          <w:tcPr>
            <w:tcW w:w="1300" w:type="dxa"/>
            <w:tcBorders>
              <w:top w:val="nil"/>
              <w:left w:val="nil"/>
              <w:bottom w:val="nil"/>
              <w:right w:val="nil"/>
            </w:tcBorders>
            <w:shd w:val="clear" w:color="auto" w:fill="auto"/>
            <w:noWrap/>
            <w:vAlign w:val="bottom"/>
            <w:hideMark/>
          </w:tcPr>
          <w:p w14:paraId="124D4FA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188</w:t>
            </w:r>
          </w:p>
        </w:tc>
        <w:tc>
          <w:tcPr>
            <w:tcW w:w="1300" w:type="dxa"/>
            <w:tcBorders>
              <w:top w:val="nil"/>
              <w:left w:val="nil"/>
              <w:bottom w:val="nil"/>
              <w:right w:val="nil"/>
            </w:tcBorders>
            <w:shd w:val="clear" w:color="auto" w:fill="auto"/>
            <w:noWrap/>
            <w:vAlign w:val="bottom"/>
            <w:hideMark/>
          </w:tcPr>
          <w:p w14:paraId="3AF57D2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245</w:t>
            </w:r>
          </w:p>
        </w:tc>
        <w:tc>
          <w:tcPr>
            <w:tcW w:w="520" w:type="dxa"/>
            <w:tcBorders>
              <w:top w:val="nil"/>
              <w:left w:val="nil"/>
              <w:bottom w:val="nil"/>
              <w:right w:val="nil"/>
            </w:tcBorders>
            <w:shd w:val="clear" w:color="auto" w:fill="auto"/>
            <w:noWrap/>
            <w:vAlign w:val="bottom"/>
            <w:hideMark/>
          </w:tcPr>
          <w:p w14:paraId="76D01A6F"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2893148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78</w:t>
            </w:r>
          </w:p>
        </w:tc>
        <w:tc>
          <w:tcPr>
            <w:tcW w:w="1300" w:type="dxa"/>
            <w:tcBorders>
              <w:top w:val="nil"/>
              <w:left w:val="nil"/>
              <w:bottom w:val="nil"/>
              <w:right w:val="nil"/>
            </w:tcBorders>
            <w:shd w:val="clear" w:color="auto" w:fill="auto"/>
            <w:noWrap/>
            <w:vAlign w:val="bottom"/>
            <w:hideMark/>
          </w:tcPr>
          <w:p w14:paraId="2D8750C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67</w:t>
            </w:r>
          </w:p>
        </w:tc>
        <w:tc>
          <w:tcPr>
            <w:tcW w:w="1300" w:type="dxa"/>
            <w:tcBorders>
              <w:top w:val="nil"/>
              <w:left w:val="nil"/>
              <w:bottom w:val="nil"/>
              <w:right w:val="nil"/>
            </w:tcBorders>
            <w:shd w:val="clear" w:color="auto" w:fill="auto"/>
            <w:noWrap/>
            <w:vAlign w:val="bottom"/>
            <w:hideMark/>
          </w:tcPr>
          <w:p w14:paraId="3B3335B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108</w:t>
            </w:r>
          </w:p>
        </w:tc>
      </w:tr>
      <w:tr w:rsidR="00BA4E22" w:rsidRPr="00BA4E22" w14:paraId="03B865AB" w14:textId="77777777" w:rsidTr="00317C22">
        <w:trPr>
          <w:cantSplit/>
        </w:trPr>
        <w:tc>
          <w:tcPr>
            <w:tcW w:w="1300" w:type="dxa"/>
            <w:tcBorders>
              <w:top w:val="nil"/>
              <w:left w:val="nil"/>
              <w:bottom w:val="nil"/>
              <w:right w:val="nil"/>
            </w:tcBorders>
            <w:shd w:val="clear" w:color="auto" w:fill="auto"/>
            <w:noWrap/>
            <w:vAlign w:val="bottom"/>
            <w:hideMark/>
          </w:tcPr>
          <w:p w14:paraId="6D56B21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36</w:t>
            </w:r>
          </w:p>
        </w:tc>
        <w:tc>
          <w:tcPr>
            <w:tcW w:w="1300" w:type="dxa"/>
            <w:tcBorders>
              <w:top w:val="nil"/>
              <w:left w:val="nil"/>
              <w:bottom w:val="nil"/>
              <w:right w:val="nil"/>
            </w:tcBorders>
            <w:shd w:val="clear" w:color="auto" w:fill="auto"/>
            <w:noWrap/>
            <w:vAlign w:val="bottom"/>
            <w:hideMark/>
          </w:tcPr>
          <w:p w14:paraId="31FBF15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202</w:t>
            </w:r>
          </w:p>
        </w:tc>
        <w:tc>
          <w:tcPr>
            <w:tcW w:w="1300" w:type="dxa"/>
            <w:tcBorders>
              <w:top w:val="nil"/>
              <w:left w:val="nil"/>
              <w:bottom w:val="nil"/>
              <w:right w:val="nil"/>
            </w:tcBorders>
            <w:shd w:val="clear" w:color="auto" w:fill="auto"/>
            <w:noWrap/>
            <w:vAlign w:val="bottom"/>
            <w:hideMark/>
          </w:tcPr>
          <w:p w14:paraId="2966FC6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280</w:t>
            </w:r>
          </w:p>
        </w:tc>
        <w:tc>
          <w:tcPr>
            <w:tcW w:w="520" w:type="dxa"/>
            <w:tcBorders>
              <w:top w:val="nil"/>
              <w:left w:val="nil"/>
              <w:bottom w:val="nil"/>
              <w:right w:val="nil"/>
            </w:tcBorders>
            <w:shd w:val="clear" w:color="auto" w:fill="auto"/>
            <w:noWrap/>
            <w:vAlign w:val="bottom"/>
            <w:hideMark/>
          </w:tcPr>
          <w:p w14:paraId="6EEE2581"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4121AC2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79</w:t>
            </w:r>
          </w:p>
        </w:tc>
        <w:tc>
          <w:tcPr>
            <w:tcW w:w="1300" w:type="dxa"/>
            <w:tcBorders>
              <w:top w:val="nil"/>
              <w:left w:val="nil"/>
              <w:bottom w:val="nil"/>
              <w:right w:val="nil"/>
            </w:tcBorders>
            <w:shd w:val="clear" w:color="auto" w:fill="auto"/>
            <w:noWrap/>
            <w:vAlign w:val="bottom"/>
            <w:hideMark/>
          </w:tcPr>
          <w:p w14:paraId="43D5B8A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53</w:t>
            </w:r>
          </w:p>
        </w:tc>
        <w:tc>
          <w:tcPr>
            <w:tcW w:w="1300" w:type="dxa"/>
            <w:tcBorders>
              <w:top w:val="nil"/>
              <w:left w:val="nil"/>
              <w:bottom w:val="nil"/>
              <w:right w:val="nil"/>
            </w:tcBorders>
            <w:shd w:val="clear" w:color="auto" w:fill="auto"/>
            <w:noWrap/>
            <w:vAlign w:val="bottom"/>
            <w:hideMark/>
          </w:tcPr>
          <w:p w14:paraId="791A5EE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97</w:t>
            </w:r>
          </w:p>
        </w:tc>
      </w:tr>
      <w:tr w:rsidR="00BA4E22" w:rsidRPr="00BA4E22" w14:paraId="3B4D44F6" w14:textId="77777777" w:rsidTr="00317C22">
        <w:trPr>
          <w:cantSplit/>
        </w:trPr>
        <w:tc>
          <w:tcPr>
            <w:tcW w:w="1300" w:type="dxa"/>
            <w:tcBorders>
              <w:top w:val="nil"/>
              <w:left w:val="nil"/>
              <w:bottom w:val="nil"/>
              <w:right w:val="nil"/>
            </w:tcBorders>
            <w:shd w:val="clear" w:color="auto" w:fill="auto"/>
            <w:noWrap/>
            <w:vAlign w:val="bottom"/>
            <w:hideMark/>
          </w:tcPr>
          <w:p w14:paraId="5421142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37</w:t>
            </w:r>
          </w:p>
        </w:tc>
        <w:tc>
          <w:tcPr>
            <w:tcW w:w="1300" w:type="dxa"/>
            <w:tcBorders>
              <w:top w:val="nil"/>
              <w:left w:val="nil"/>
              <w:bottom w:val="nil"/>
              <w:right w:val="nil"/>
            </w:tcBorders>
            <w:shd w:val="clear" w:color="auto" w:fill="auto"/>
            <w:noWrap/>
            <w:vAlign w:val="bottom"/>
            <w:hideMark/>
          </w:tcPr>
          <w:p w14:paraId="1410185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216</w:t>
            </w:r>
          </w:p>
        </w:tc>
        <w:tc>
          <w:tcPr>
            <w:tcW w:w="1300" w:type="dxa"/>
            <w:tcBorders>
              <w:top w:val="nil"/>
              <w:left w:val="nil"/>
              <w:bottom w:val="nil"/>
              <w:right w:val="nil"/>
            </w:tcBorders>
            <w:shd w:val="clear" w:color="auto" w:fill="auto"/>
            <w:noWrap/>
            <w:vAlign w:val="bottom"/>
            <w:hideMark/>
          </w:tcPr>
          <w:p w14:paraId="4883274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270</w:t>
            </w:r>
          </w:p>
        </w:tc>
        <w:tc>
          <w:tcPr>
            <w:tcW w:w="520" w:type="dxa"/>
            <w:tcBorders>
              <w:top w:val="nil"/>
              <w:left w:val="nil"/>
              <w:bottom w:val="nil"/>
              <w:right w:val="nil"/>
            </w:tcBorders>
            <w:shd w:val="clear" w:color="auto" w:fill="auto"/>
            <w:noWrap/>
            <w:vAlign w:val="bottom"/>
            <w:hideMark/>
          </w:tcPr>
          <w:p w14:paraId="6A8604C3"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32719B5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80</w:t>
            </w:r>
          </w:p>
        </w:tc>
        <w:tc>
          <w:tcPr>
            <w:tcW w:w="1300" w:type="dxa"/>
            <w:tcBorders>
              <w:top w:val="nil"/>
              <w:left w:val="nil"/>
              <w:bottom w:val="nil"/>
              <w:right w:val="nil"/>
            </w:tcBorders>
            <w:shd w:val="clear" w:color="auto" w:fill="auto"/>
            <w:noWrap/>
            <w:vAlign w:val="bottom"/>
            <w:hideMark/>
          </w:tcPr>
          <w:p w14:paraId="4B61EF3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74</w:t>
            </w:r>
          </w:p>
        </w:tc>
        <w:tc>
          <w:tcPr>
            <w:tcW w:w="1300" w:type="dxa"/>
            <w:tcBorders>
              <w:top w:val="nil"/>
              <w:left w:val="nil"/>
              <w:bottom w:val="nil"/>
              <w:right w:val="nil"/>
            </w:tcBorders>
            <w:shd w:val="clear" w:color="auto" w:fill="auto"/>
            <w:noWrap/>
            <w:vAlign w:val="bottom"/>
            <w:hideMark/>
          </w:tcPr>
          <w:p w14:paraId="0721EB5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85</w:t>
            </w:r>
          </w:p>
        </w:tc>
      </w:tr>
      <w:tr w:rsidR="00BA4E22" w:rsidRPr="00BA4E22" w14:paraId="36540011" w14:textId="77777777" w:rsidTr="00317C22">
        <w:trPr>
          <w:cantSplit/>
        </w:trPr>
        <w:tc>
          <w:tcPr>
            <w:tcW w:w="1300" w:type="dxa"/>
            <w:tcBorders>
              <w:top w:val="nil"/>
              <w:left w:val="nil"/>
              <w:bottom w:val="nil"/>
              <w:right w:val="nil"/>
            </w:tcBorders>
            <w:shd w:val="clear" w:color="auto" w:fill="auto"/>
            <w:noWrap/>
            <w:vAlign w:val="bottom"/>
            <w:hideMark/>
          </w:tcPr>
          <w:p w14:paraId="1E5B769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38</w:t>
            </w:r>
          </w:p>
        </w:tc>
        <w:tc>
          <w:tcPr>
            <w:tcW w:w="1300" w:type="dxa"/>
            <w:tcBorders>
              <w:top w:val="nil"/>
              <w:left w:val="nil"/>
              <w:bottom w:val="nil"/>
              <w:right w:val="nil"/>
            </w:tcBorders>
            <w:shd w:val="clear" w:color="auto" w:fill="auto"/>
            <w:noWrap/>
            <w:vAlign w:val="bottom"/>
            <w:hideMark/>
          </w:tcPr>
          <w:p w14:paraId="35E18E4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196</w:t>
            </w:r>
          </w:p>
        </w:tc>
        <w:tc>
          <w:tcPr>
            <w:tcW w:w="1300" w:type="dxa"/>
            <w:tcBorders>
              <w:top w:val="nil"/>
              <w:left w:val="nil"/>
              <w:bottom w:val="nil"/>
              <w:right w:val="nil"/>
            </w:tcBorders>
            <w:shd w:val="clear" w:color="auto" w:fill="auto"/>
            <w:noWrap/>
            <w:vAlign w:val="bottom"/>
            <w:hideMark/>
          </w:tcPr>
          <w:p w14:paraId="291BB9D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317</w:t>
            </w:r>
          </w:p>
        </w:tc>
        <w:tc>
          <w:tcPr>
            <w:tcW w:w="520" w:type="dxa"/>
            <w:tcBorders>
              <w:top w:val="nil"/>
              <w:left w:val="nil"/>
              <w:bottom w:val="nil"/>
              <w:right w:val="nil"/>
            </w:tcBorders>
            <w:shd w:val="clear" w:color="auto" w:fill="auto"/>
            <w:noWrap/>
            <w:vAlign w:val="bottom"/>
            <w:hideMark/>
          </w:tcPr>
          <w:p w14:paraId="27B65A75"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19B9080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81</w:t>
            </w:r>
          </w:p>
        </w:tc>
        <w:tc>
          <w:tcPr>
            <w:tcW w:w="1300" w:type="dxa"/>
            <w:tcBorders>
              <w:top w:val="nil"/>
              <w:left w:val="nil"/>
              <w:bottom w:val="nil"/>
              <w:right w:val="nil"/>
            </w:tcBorders>
            <w:shd w:val="clear" w:color="auto" w:fill="auto"/>
            <w:noWrap/>
            <w:vAlign w:val="bottom"/>
            <w:hideMark/>
          </w:tcPr>
          <w:p w14:paraId="6A76DAD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58</w:t>
            </w:r>
          </w:p>
        </w:tc>
        <w:tc>
          <w:tcPr>
            <w:tcW w:w="1300" w:type="dxa"/>
            <w:tcBorders>
              <w:top w:val="nil"/>
              <w:left w:val="nil"/>
              <w:bottom w:val="nil"/>
              <w:right w:val="nil"/>
            </w:tcBorders>
            <w:shd w:val="clear" w:color="auto" w:fill="auto"/>
            <w:noWrap/>
            <w:vAlign w:val="bottom"/>
            <w:hideMark/>
          </w:tcPr>
          <w:p w14:paraId="6CB6A7E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87</w:t>
            </w:r>
          </w:p>
        </w:tc>
      </w:tr>
      <w:tr w:rsidR="00BA4E22" w:rsidRPr="00BA4E22" w14:paraId="19B6B40A" w14:textId="77777777" w:rsidTr="00317C22">
        <w:trPr>
          <w:cantSplit/>
        </w:trPr>
        <w:tc>
          <w:tcPr>
            <w:tcW w:w="1300" w:type="dxa"/>
            <w:tcBorders>
              <w:top w:val="nil"/>
              <w:left w:val="nil"/>
              <w:bottom w:val="nil"/>
              <w:right w:val="nil"/>
            </w:tcBorders>
            <w:shd w:val="clear" w:color="auto" w:fill="auto"/>
            <w:noWrap/>
            <w:vAlign w:val="bottom"/>
            <w:hideMark/>
          </w:tcPr>
          <w:p w14:paraId="4F935A0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39</w:t>
            </w:r>
          </w:p>
        </w:tc>
        <w:tc>
          <w:tcPr>
            <w:tcW w:w="1300" w:type="dxa"/>
            <w:tcBorders>
              <w:top w:val="nil"/>
              <w:left w:val="nil"/>
              <w:bottom w:val="nil"/>
              <w:right w:val="nil"/>
            </w:tcBorders>
            <w:shd w:val="clear" w:color="auto" w:fill="auto"/>
            <w:noWrap/>
            <w:vAlign w:val="bottom"/>
            <w:hideMark/>
          </w:tcPr>
          <w:p w14:paraId="62F18DD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214</w:t>
            </w:r>
          </w:p>
        </w:tc>
        <w:tc>
          <w:tcPr>
            <w:tcW w:w="1300" w:type="dxa"/>
            <w:tcBorders>
              <w:top w:val="nil"/>
              <w:left w:val="nil"/>
              <w:bottom w:val="nil"/>
              <w:right w:val="nil"/>
            </w:tcBorders>
            <w:shd w:val="clear" w:color="auto" w:fill="auto"/>
            <w:noWrap/>
            <w:vAlign w:val="bottom"/>
            <w:hideMark/>
          </w:tcPr>
          <w:p w14:paraId="67DA6B8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313</w:t>
            </w:r>
          </w:p>
        </w:tc>
        <w:tc>
          <w:tcPr>
            <w:tcW w:w="520" w:type="dxa"/>
            <w:tcBorders>
              <w:top w:val="nil"/>
              <w:left w:val="nil"/>
              <w:bottom w:val="nil"/>
              <w:right w:val="nil"/>
            </w:tcBorders>
            <w:shd w:val="clear" w:color="auto" w:fill="auto"/>
            <w:noWrap/>
            <w:vAlign w:val="bottom"/>
            <w:hideMark/>
          </w:tcPr>
          <w:p w14:paraId="415B393C"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63AF98E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82</w:t>
            </w:r>
          </w:p>
        </w:tc>
        <w:tc>
          <w:tcPr>
            <w:tcW w:w="1300" w:type="dxa"/>
            <w:tcBorders>
              <w:top w:val="nil"/>
              <w:left w:val="nil"/>
              <w:bottom w:val="nil"/>
              <w:right w:val="nil"/>
            </w:tcBorders>
            <w:shd w:val="clear" w:color="auto" w:fill="auto"/>
            <w:noWrap/>
            <w:vAlign w:val="bottom"/>
            <w:hideMark/>
          </w:tcPr>
          <w:p w14:paraId="628A85A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57</w:t>
            </w:r>
          </w:p>
        </w:tc>
        <w:tc>
          <w:tcPr>
            <w:tcW w:w="1300" w:type="dxa"/>
            <w:tcBorders>
              <w:top w:val="nil"/>
              <w:left w:val="nil"/>
              <w:bottom w:val="nil"/>
              <w:right w:val="nil"/>
            </w:tcBorders>
            <w:shd w:val="clear" w:color="auto" w:fill="auto"/>
            <w:noWrap/>
            <w:vAlign w:val="bottom"/>
            <w:hideMark/>
          </w:tcPr>
          <w:p w14:paraId="773725E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88</w:t>
            </w:r>
          </w:p>
        </w:tc>
      </w:tr>
      <w:tr w:rsidR="00BA4E22" w:rsidRPr="00BA4E22" w14:paraId="366ADF2F" w14:textId="77777777" w:rsidTr="00317C22">
        <w:trPr>
          <w:cantSplit/>
        </w:trPr>
        <w:tc>
          <w:tcPr>
            <w:tcW w:w="1300" w:type="dxa"/>
            <w:tcBorders>
              <w:top w:val="nil"/>
              <w:left w:val="nil"/>
              <w:bottom w:val="nil"/>
              <w:right w:val="nil"/>
            </w:tcBorders>
            <w:shd w:val="clear" w:color="auto" w:fill="auto"/>
            <w:noWrap/>
            <w:vAlign w:val="bottom"/>
            <w:hideMark/>
          </w:tcPr>
          <w:p w14:paraId="1125AD4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40</w:t>
            </w:r>
          </w:p>
        </w:tc>
        <w:tc>
          <w:tcPr>
            <w:tcW w:w="1300" w:type="dxa"/>
            <w:tcBorders>
              <w:top w:val="nil"/>
              <w:left w:val="nil"/>
              <w:bottom w:val="nil"/>
              <w:right w:val="nil"/>
            </w:tcBorders>
            <w:shd w:val="clear" w:color="auto" w:fill="auto"/>
            <w:noWrap/>
            <w:vAlign w:val="bottom"/>
            <w:hideMark/>
          </w:tcPr>
          <w:p w14:paraId="6D75B89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220</w:t>
            </w:r>
          </w:p>
        </w:tc>
        <w:tc>
          <w:tcPr>
            <w:tcW w:w="1300" w:type="dxa"/>
            <w:tcBorders>
              <w:top w:val="nil"/>
              <w:left w:val="nil"/>
              <w:bottom w:val="nil"/>
              <w:right w:val="nil"/>
            </w:tcBorders>
            <w:shd w:val="clear" w:color="auto" w:fill="auto"/>
            <w:noWrap/>
            <w:vAlign w:val="bottom"/>
            <w:hideMark/>
          </w:tcPr>
          <w:p w14:paraId="58364D7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310</w:t>
            </w:r>
          </w:p>
        </w:tc>
        <w:tc>
          <w:tcPr>
            <w:tcW w:w="520" w:type="dxa"/>
            <w:tcBorders>
              <w:top w:val="nil"/>
              <w:left w:val="nil"/>
              <w:bottom w:val="nil"/>
              <w:right w:val="nil"/>
            </w:tcBorders>
            <w:shd w:val="clear" w:color="auto" w:fill="auto"/>
            <w:noWrap/>
            <w:vAlign w:val="bottom"/>
            <w:hideMark/>
          </w:tcPr>
          <w:p w14:paraId="3647CB3E"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7B4CD5A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83</w:t>
            </w:r>
          </w:p>
        </w:tc>
        <w:tc>
          <w:tcPr>
            <w:tcW w:w="1300" w:type="dxa"/>
            <w:tcBorders>
              <w:top w:val="nil"/>
              <w:left w:val="nil"/>
              <w:bottom w:val="nil"/>
              <w:right w:val="nil"/>
            </w:tcBorders>
            <w:shd w:val="clear" w:color="auto" w:fill="auto"/>
            <w:noWrap/>
            <w:vAlign w:val="bottom"/>
            <w:hideMark/>
          </w:tcPr>
          <w:p w14:paraId="4DAD302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46</w:t>
            </w:r>
          </w:p>
        </w:tc>
        <w:tc>
          <w:tcPr>
            <w:tcW w:w="1300" w:type="dxa"/>
            <w:tcBorders>
              <w:top w:val="nil"/>
              <w:left w:val="nil"/>
              <w:bottom w:val="nil"/>
              <w:right w:val="nil"/>
            </w:tcBorders>
            <w:shd w:val="clear" w:color="auto" w:fill="auto"/>
            <w:noWrap/>
            <w:vAlign w:val="bottom"/>
            <w:hideMark/>
          </w:tcPr>
          <w:p w14:paraId="081C07F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73</w:t>
            </w:r>
          </w:p>
        </w:tc>
      </w:tr>
      <w:tr w:rsidR="00BA4E22" w:rsidRPr="00BA4E22" w14:paraId="24FD529D" w14:textId="77777777" w:rsidTr="00317C22">
        <w:trPr>
          <w:cantSplit/>
        </w:trPr>
        <w:tc>
          <w:tcPr>
            <w:tcW w:w="1300" w:type="dxa"/>
            <w:tcBorders>
              <w:top w:val="nil"/>
              <w:left w:val="nil"/>
              <w:bottom w:val="nil"/>
              <w:right w:val="nil"/>
            </w:tcBorders>
            <w:shd w:val="clear" w:color="auto" w:fill="auto"/>
            <w:noWrap/>
            <w:vAlign w:val="bottom"/>
            <w:hideMark/>
          </w:tcPr>
          <w:p w14:paraId="3D00CDF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41</w:t>
            </w:r>
          </w:p>
        </w:tc>
        <w:tc>
          <w:tcPr>
            <w:tcW w:w="1300" w:type="dxa"/>
            <w:tcBorders>
              <w:top w:val="nil"/>
              <w:left w:val="nil"/>
              <w:bottom w:val="nil"/>
              <w:right w:val="nil"/>
            </w:tcBorders>
            <w:shd w:val="clear" w:color="auto" w:fill="auto"/>
            <w:noWrap/>
            <w:vAlign w:val="bottom"/>
            <w:hideMark/>
          </w:tcPr>
          <w:p w14:paraId="62EB3A6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234</w:t>
            </w:r>
          </w:p>
        </w:tc>
        <w:tc>
          <w:tcPr>
            <w:tcW w:w="1300" w:type="dxa"/>
            <w:tcBorders>
              <w:top w:val="nil"/>
              <w:left w:val="nil"/>
              <w:bottom w:val="nil"/>
              <w:right w:val="nil"/>
            </w:tcBorders>
            <w:shd w:val="clear" w:color="auto" w:fill="auto"/>
            <w:noWrap/>
            <w:vAlign w:val="bottom"/>
            <w:hideMark/>
          </w:tcPr>
          <w:p w14:paraId="752D476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301</w:t>
            </w:r>
          </w:p>
        </w:tc>
        <w:tc>
          <w:tcPr>
            <w:tcW w:w="520" w:type="dxa"/>
            <w:tcBorders>
              <w:top w:val="nil"/>
              <w:left w:val="nil"/>
              <w:bottom w:val="nil"/>
              <w:right w:val="nil"/>
            </w:tcBorders>
            <w:shd w:val="clear" w:color="auto" w:fill="auto"/>
            <w:noWrap/>
            <w:vAlign w:val="bottom"/>
            <w:hideMark/>
          </w:tcPr>
          <w:p w14:paraId="651A2D03"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383DB53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84</w:t>
            </w:r>
          </w:p>
        </w:tc>
        <w:tc>
          <w:tcPr>
            <w:tcW w:w="1300" w:type="dxa"/>
            <w:tcBorders>
              <w:top w:val="nil"/>
              <w:left w:val="nil"/>
              <w:bottom w:val="nil"/>
              <w:right w:val="nil"/>
            </w:tcBorders>
            <w:shd w:val="clear" w:color="auto" w:fill="auto"/>
            <w:noWrap/>
            <w:vAlign w:val="bottom"/>
            <w:hideMark/>
          </w:tcPr>
          <w:p w14:paraId="325DD2C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39</w:t>
            </w:r>
          </w:p>
        </w:tc>
        <w:tc>
          <w:tcPr>
            <w:tcW w:w="1300" w:type="dxa"/>
            <w:tcBorders>
              <w:top w:val="nil"/>
              <w:left w:val="nil"/>
              <w:bottom w:val="nil"/>
              <w:right w:val="nil"/>
            </w:tcBorders>
            <w:shd w:val="clear" w:color="auto" w:fill="auto"/>
            <w:noWrap/>
            <w:vAlign w:val="bottom"/>
            <w:hideMark/>
          </w:tcPr>
          <w:p w14:paraId="546AEC6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58</w:t>
            </w:r>
          </w:p>
        </w:tc>
      </w:tr>
      <w:tr w:rsidR="00BA4E22" w:rsidRPr="00BA4E22" w14:paraId="0D61657A" w14:textId="77777777" w:rsidTr="00317C22">
        <w:trPr>
          <w:cantSplit/>
        </w:trPr>
        <w:tc>
          <w:tcPr>
            <w:tcW w:w="1300" w:type="dxa"/>
            <w:tcBorders>
              <w:top w:val="nil"/>
              <w:left w:val="nil"/>
              <w:bottom w:val="nil"/>
              <w:right w:val="nil"/>
            </w:tcBorders>
            <w:shd w:val="clear" w:color="auto" w:fill="auto"/>
            <w:noWrap/>
            <w:vAlign w:val="bottom"/>
            <w:hideMark/>
          </w:tcPr>
          <w:p w14:paraId="2557274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42</w:t>
            </w:r>
          </w:p>
        </w:tc>
        <w:tc>
          <w:tcPr>
            <w:tcW w:w="1300" w:type="dxa"/>
            <w:tcBorders>
              <w:top w:val="nil"/>
              <w:left w:val="nil"/>
              <w:bottom w:val="nil"/>
              <w:right w:val="nil"/>
            </w:tcBorders>
            <w:shd w:val="clear" w:color="auto" w:fill="auto"/>
            <w:noWrap/>
            <w:vAlign w:val="bottom"/>
            <w:hideMark/>
          </w:tcPr>
          <w:p w14:paraId="1B8AAB4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286</w:t>
            </w:r>
          </w:p>
        </w:tc>
        <w:tc>
          <w:tcPr>
            <w:tcW w:w="1300" w:type="dxa"/>
            <w:tcBorders>
              <w:top w:val="nil"/>
              <w:left w:val="nil"/>
              <w:bottom w:val="nil"/>
              <w:right w:val="nil"/>
            </w:tcBorders>
            <w:shd w:val="clear" w:color="auto" w:fill="auto"/>
            <w:noWrap/>
            <w:vAlign w:val="bottom"/>
            <w:hideMark/>
          </w:tcPr>
          <w:p w14:paraId="31D8BC0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328</w:t>
            </w:r>
          </w:p>
        </w:tc>
        <w:tc>
          <w:tcPr>
            <w:tcW w:w="520" w:type="dxa"/>
            <w:tcBorders>
              <w:top w:val="nil"/>
              <w:left w:val="nil"/>
              <w:bottom w:val="nil"/>
              <w:right w:val="nil"/>
            </w:tcBorders>
            <w:shd w:val="clear" w:color="auto" w:fill="auto"/>
            <w:noWrap/>
            <w:vAlign w:val="bottom"/>
            <w:hideMark/>
          </w:tcPr>
          <w:p w14:paraId="62B1083E"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3C960DD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85</w:t>
            </w:r>
          </w:p>
        </w:tc>
        <w:tc>
          <w:tcPr>
            <w:tcW w:w="1300" w:type="dxa"/>
            <w:tcBorders>
              <w:top w:val="nil"/>
              <w:left w:val="nil"/>
              <w:bottom w:val="nil"/>
              <w:right w:val="nil"/>
            </w:tcBorders>
            <w:shd w:val="clear" w:color="auto" w:fill="auto"/>
            <w:noWrap/>
            <w:vAlign w:val="bottom"/>
            <w:hideMark/>
          </w:tcPr>
          <w:p w14:paraId="639E9AD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w:t>
            </w:r>
          </w:p>
        </w:tc>
        <w:tc>
          <w:tcPr>
            <w:tcW w:w="1300" w:type="dxa"/>
            <w:tcBorders>
              <w:top w:val="nil"/>
              <w:left w:val="nil"/>
              <w:bottom w:val="nil"/>
              <w:right w:val="nil"/>
            </w:tcBorders>
            <w:shd w:val="clear" w:color="auto" w:fill="auto"/>
            <w:noWrap/>
            <w:vAlign w:val="bottom"/>
            <w:hideMark/>
          </w:tcPr>
          <w:p w14:paraId="56A830B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51</w:t>
            </w:r>
          </w:p>
        </w:tc>
      </w:tr>
      <w:tr w:rsidR="00BA4E22" w:rsidRPr="00BA4E22" w14:paraId="7C1593F2" w14:textId="77777777" w:rsidTr="00317C22">
        <w:trPr>
          <w:cantSplit/>
        </w:trPr>
        <w:tc>
          <w:tcPr>
            <w:tcW w:w="1300" w:type="dxa"/>
            <w:tcBorders>
              <w:top w:val="nil"/>
              <w:left w:val="nil"/>
              <w:bottom w:val="nil"/>
              <w:right w:val="nil"/>
            </w:tcBorders>
            <w:shd w:val="clear" w:color="auto" w:fill="auto"/>
            <w:noWrap/>
            <w:vAlign w:val="bottom"/>
            <w:hideMark/>
          </w:tcPr>
          <w:p w14:paraId="6C7EA50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43</w:t>
            </w:r>
          </w:p>
        </w:tc>
        <w:tc>
          <w:tcPr>
            <w:tcW w:w="1300" w:type="dxa"/>
            <w:tcBorders>
              <w:top w:val="nil"/>
              <w:left w:val="nil"/>
              <w:bottom w:val="nil"/>
              <w:right w:val="nil"/>
            </w:tcBorders>
            <w:shd w:val="clear" w:color="auto" w:fill="auto"/>
            <w:noWrap/>
            <w:vAlign w:val="bottom"/>
            <w:hideMark/>
          </w:tcPr>
          <w:p w14:paraId="518CED3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270</w:t>
            </w:r>
          </w:p>
        </w:tc>
        <w:tc>
          <w:tcPr>
            <w:tcW w:w="1300" w:type="dxa"/>
            <w:tcBorders>
              <w:top w:val="nil"/>
              <w:left w:val="nil"/>
              <w:bottom w:val="nil"/>
              <w:right w:val="nil"/>
            </w:tcBorders>
            <w:shd w:val="clear" w:color="auto" w:fill="auto"/>
            <w:noWrap/>
            <w:vAlign w:val="bottom"/>
            <w:hideMark/>
          </w:tcPr>
          <w:p w14:paraId="2675D09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325</w:t>
            </w:r>
          </w:p>
        </w:tc>
        <w:tc>
          <w:tcPr>
            <w:tcW w:w="520" w:type="dxa"/>
            <w:tcBorders>
              <w:top w:val="nil"/>
              <w:left w:val="nil"/>
              <w:bottom w:val="nil"/>
              <w:right w:val="nil"/>
            </w:tcBorders>
            <w:shd w:val="clear" w:color="auto" w:fill="auto"/>
            <w:noWrap/>
            <w:vAlign w:val="bottom"/>
            <w:hideMark/>
          </w:tcPr>
          <w:p w14:paraId="10CF263E"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75FACAA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86</w:t>
            </w:r>
          </w:p>
        </w:tc>
        <w:tc>
          <w:tcPr>
            <w:tcW w:w="1300" w:type="dxa"/>
            <w:tcBorders>
              <w:top w:val="nil"/>
              <w:left w:val="nil"/>
              <w:bottom w:val="nil"/>
              <w:right w:val="nil"/>
            </w:tcBorders>
            <w:shd w:val="clear" w:color="auto" w:fill="auto"/>
            <w:noWrap/>
            <w:vAlign w:val="bottom"/>
            <w:hideMark/>
          </w:tcPr>
          <w:p w14:paraId="313D300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35</w:t>
            </w:r>
          </w:p>
        </w:tc>
        <w:tc>
          <w:tcPr>
            <w:tcW w:w="1300" w:type="dxa"/>
            <w:tcBorders>
              <w:top w:val="nil"/>
              <w:left w:val="nil"/>
              <w:bottom w:val="nil"/>
              <w:right w:val="nil"/>
            </w:tcBorders>
            <w:shd w:val="clear" w:color="auto" w:fill="auto"/>
            <w:noWrap/>
            <w:vAlign w:val="bottom"/>
            <w:hideMark/>
          </w:tcPr>
          <w:p w14:paraId="136746D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50</w:t>
            </w:r>
          </w:p>
        </w:tc>
      </w:tr>
      <w:tr w:rsidR="00BA4E22" w:rsidRPr="00BA4E22" w14:paraId="48A1B7BD" w14:textId="77777777" w:rsidTr="00317C22">
        <w:trPr>
          <w:cantSplit/>
        </w:trPr>
        <w:tc>
          <w:tcPr>
            <w:tcW w:w="1300" w:type="dxa"/>
            <w:tcBorders>
              <w:top w:val="nil"/>
              <w:left w:val="nil"/>
              <w:bottom w:val="nil"/>
              <w:right w:val="nil"/>
            </w:tcBorders>
            <w:shd w:val="clear" w:color="auto" w:fill="auto"/>
            <w:noWrap/>
            <w:vAlign w:val="bottom"/>
            <w:hideMark/>
          </w:tcPr>
          <w:p w14:paraId="62D9B60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44</w:t>
            </w:r>
          </w:p>
        </w:tc>
        <w:tc>
          <w:tcPr>
            <w:tcW w:w="1300" w:type="dxa"/>
            <w:tcBorders>
              <w:top w:val="nil"/>
              <w:left w:val="nil"/>
              <w:bottom w:val="nil"/>
              <w:right w:val="nil"/>
            </w:tcBorders>
            <w:shd w:val="clear" w:color="auto" w:fill="auto"/>
            <w:noWrap/>
            <w:vAlign w:val="bottom"/>
            <w:hideMark/>
          </w:tcPr>
          <w:p w14:paraId="552A1CC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260</w:t>
            </w:r>
          </w:p>
        </w:tc>
        <w:tc>
          <w:tcPr>
            <w:tcW w:w="1300" w:type="dxa"/>
            <w:tcBorders>
              <w:top w:val="nil"/>
              <w:left w:val="nil"/>
              <w:bottom w:val="nil"/>
              <w:right w:val="nil"/>
            </w:tcBorders>
            <w:shd w:val="clear" w:color="auto" w:fill="auto"/>
            <w:noWrap/>
            <w:vAlign w:val="bottom"/>
            <w:hideMark/>
          </w:tcPr>
          <w:p w14:paraId="4B9E515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310</w:t>
            </w:r>
          </w:p>
        </w:tc>
        <w:tc>
          <w:tcPr>
            <w:tcW w:w="520" w:type="dxa"/>
            <w:tcBorders>
              <w:top w:val="nil"/>
              <w:left w:val="nil"/>
              <w:bottom w:val="nil"/>
              <w:right w:val="nil"/>
            </w:tcBorders>
            <w:shd w:val="clear" w:color="auto" w:fill="auto"/>
            <w:noWrap/>
            <w:vAlign w:val="bottom"/>
            <w:hideMark/>
          </w:tcPr>
          <w:p w14:paraId="13A32AAF"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75A9384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87</w:t>
            </w:r>
          </w:p>
        </w:tc>
        <w:tc>
          <w:tcPr>
            <w:tcW w:w="1300" w:type="dxa"/>
            <w:tcBorders>
              <w:top w:val="nil"/>
              <w:left w:val="nil"/>
              <w:bottom w:val="nil"/>
              <w:right w:val="nil"/>
            </w:tcBorders>
            <w:shd w:val="clear" w:color="auto" w:fill="auto"/>
            <w:noWrap/>
            <w:vAlign w:val="bottom"/>
            <w:hideMark/>
          </w:tcPr>
          <w:p w14:paraId="77E0677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26</w:t>
            </w:r>
          </w:p>
        </w:tc>
        <w:tc>
          <w:tcPr>
            <w:tcW w:w="1300" w:type="dxa"/>
            <w:tcBorders>
              <w:top w:val="nil"/>
              <w:left w:val="nil"/>
              <w:bottom w:val="nil"/>
              <w:right w:val="nil"/>
            </w:tcBorders>
            <w:shd w:val="clear" w:color="auto" w:fill="auto"/>
            <w:noWrap/>
            <w:vAlign w:val="bottom"/>
            <w:hideMark/>
          </w:tcPr>
          <w:p w14:paraId="76EEF7B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34</w:t>
            </w:r>
          </w:p>
        </w:tc>
      </w:tr>
      <w:tr w:rsidR="00BA4E22" w:rsidRPr="00BA4E22" w14:paraId="0742F874" w14:textId="77777777" w:rsidTr="00317C22">
        <w:trPr>
          <w:cantSplit/>
        </w:trPr>
        <w:tc>
          <w:tcPr>
            <w:tcW w:w="1300" w:type="dxa"/>
            <w:tcBorders>
              <w:top w:val="nil"/>
              <w:left w:val="nil"/>
              <w:bottom w:val="nil"/>
              <w:right w:val="nil"/>
            </w:tcBorders>
            <w:shd w:val="clear" w:color="auto" w:fill="auto"/>
            <w:noWrap/>
            <w:vAlign w:val="bottom"/>
            <w:hideMark/>
          </w:tcPr>
          <w:p w14:paraId="7F12B78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45</w:t>
            </w:r>
          </w:p>
        </w:tc>
        <w:tc>
          <w:tcPr>
            <w:tcW w:w="1300" w:type="dxa"/>
            <w:tcBorders>
              <w:top w:val="nil"/>
              <w:left w:val="nil"/>
              <w:bottom w:val="nil"/>
              <w:right w:val="nil"/>
            </w:tcBorders>
            <w:shd w:val="clear" w:color="auto" w:fill="auto"/>
            <w:noWrap/>
            <w:vAlign w:val="bottom"/>
            <w:hideMark/>
          </w:tcPr>
          <w:p w14:paraId="0C17CF8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236</w:t>
            </w:r>
          </w:p>
        </w:tc>
        <w:tc>
          <w:tcPr>
            <w:tcW w:w="1300" w:type="dxa"/>
            <w:tcBorders>
              <w:top w:val="nil"/>
              <w:left w:val="nil"/>
              <w:bottom w:val="nil"/>
              <w:right w:val="nil"/>
            </w:tcBorders>
            <w:shd w:val="clear" w:color="auto" w:fill="auto"/>
            <w:noWrap/>
            <w:vAlign w:val="bottom"/>
            <w:hideMark/>
          </w:tcPr>
          <w:p w14:paraId="088014F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344</w:t>
            </w:r>
          </w:p>
        </w:tc>
        <w:tc>
          <w:tcPr>
            <w:tcW w:w="520" w:type="dxa"/>
            <w:tcBorders>
              <w:top w:val="nil"/>
              <w:left w:val="nil"/>
              <w:bottom w:val="nil"/>
              <w:right w:val="nil"/>
            </w:tcBorders>
            <w:shd w:val="clear" w:color="auto" w:fill="auto"/>
            <w:noWrap/>
            <w:vAlign w:val="bottom"/>
            <w:hideMark/>
          </w:tcPr>
          <w:p w14:paraId="34B18C7E"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1A67972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88</w:t>
            </w:r>
          </w:p>
        </w:tc>
        <w:tc>
          <w:tcPr>
            <w:tcW w:w="1300" w:type="dxa"/>
            <w:tcBorders>
              <w:top w:val="nil"/>
              <w:left w:val="nil"/>
              <w:bottom w:val="nil"/>
              <w:right w:val="nil"/>
            </w:tcBorders>
            <w:shd w:val="clear" w:color="auto" w:fill="auto"/>
            <w:noWrap/>
            <w:vAlign w:val="bottom"/>
            <w:hideMark/>
          </w:tcPr>
          <w:p w14:paraId="131EF47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16</w:t>
            </w:r>
          </w:p>
        </w:tc>
        <w:tc>
          <w:tcPr>
            <w:tcW w:w="1300" w:type="dxa"/>
            <w:tcBorders>
              <w:top w:val="nil"/>
              <w:left w:val="nil"/>
              <w:bottom w:val="nil"/>
              <w:right w:val="nil"/>
            </w:tcBorders>
            <w:shd w:val="clear" w:color="auto" w:fill="auto"/>
            <w:noWrap/>
            <w:vAlign w:val="bottom"/>
            <w:hideMark/>
          </w:tcPr>
          <w:p w14:paraId="259604C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33</w:t>
            </w:r>
          </w:p>
        </w:tc>
      </w:tr>
      <w:tr w:rsidR="00BA4E22" w:rsidRPr="00BA4E22" w14:paraId="53332C36" w14:textId="77777777" w:rsidTr="00317C22">
        <w:trPr>
          <w:cantSplit/>
        </w:trPr>
        <w:tc>
          <w:tcPr>
            <w:tcW w:w="1300" w:type="dxa"/>
            <w:tcBorders>
              <w:top w:val="nil"/>
              <w:left w:val="nil"/>
              <w:bottom w:val="nil"/>
              <w:right w:val="nil"/>
            </w:tcBorders>
            <w:shd w:val="clear" w:color="auto" w:fill="auto"/>
            <w:noWrap/>
            <w:vAlign w:val="bottom"/>
            <w:hideMark/>
          </w:tcPr>
          <w:p w14:paraId="2F4234A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46</w:t>
            </w:r>
          </w:p>
        </w:tc>
        <w:tc>
          <w:tcPr>
            <w:tcW w:w="1300" w:type="dxa"/>
            <w:tcBorders>
              <w:top w:val="nil"/>
              <w:left w:val="nil"/>
              <w:bottom w:val="nil"/>
              <w:right w:val="nil"/>
            </w:tcBorders>
            <w:shd w:val="clear" w:color="auto" w:fill="auto"/>
            <w:noWrap/>
            <w:vAlign w:val="bottom"/>
            <w:hideMark/>
          </w:tcPr>
          <w:p w14:paraId="19EB0BE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218</w:t>
            </w:r>
          </w:p>
        </w:tc>
        <w:tc>
          <w:tcPr>
            <w:tcW w:w="1300" w:type="dxa"/>
            <w:tcBorders>
              <w:top w:val="nil"/>
              <w:left w:val="nil"/>
              <w:bottom w:val="nil"/>
              <w:right w:val="nil"/>
            </w:tcBorders>
            <w:shd w:val="clear" w:color="auto" w:fill="auto"/>
            <w:noWrap/>
            <w:vAlign w:val="bottom"/>
            <w:hideMark/>
          </w:tcPr>
          <w:p w14:paraId="6934E5A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332</w:t>
            </w:r>
          </w:p>
        </w:tc>
        <w:tc>
          <w:tcPr>
            <w:tcW w:w="520" w:type="dxa"/>
            <w:tcBorders>
              <w:top w:val="nil"/>
              <w:left w:val="nil"/>
              <w:bottom w:val="nil"/>
              <w:right w:val="nil"/>
            </w:tcBorders>
            <w:shd w:val="clear" w:color="auto" w:fill="auto"/>
            <w:noWrap/>
            <w:vAlign w:val="bottom"/>
            <w:hideMark/>
          </w:tcPr>
          <w:p w14:paraId="2D5B02BF"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1785336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89</w:t>
            </w:r>
          </w:p>
        </w:tc>
        <w:tc>
          <w:tcPr>
            <w:tcW w:w="1300" w:type="dxa"/>
            <w:tcBorders>
              <w:top w:val="nil"/>
              <w:left w:val="nil"/>
              <w:bottom w:val="nil"/>
              <w:right w:val="nil"/>
            </w:tcBorders>
            <w:shd w:val="clear" w:color="auto" w:fill="auto"/>
            <w:noWrap/>
            <w:vAlign w:val="bottom"/>
            <w:hideMark/>
          </w:tcPr>
          <w:p w14:paraId="6C10C97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7</w:t>
            </w:r>
          </w:p>
        </w:tc>
        <w:tc>
          <w:tcPr>
            <w:tcW w:w="1300" w:type="dxa"/>
            <w:tcBorders>
              <w:top w:val="nil"/>
              <w:left w:val="nil"/>
              <w:bottom w:val="nil"/>
              <w:right w:val="nil"/>
            </w:tcBorders>
            <w:shd w:val="clear" w:color="auto" w:fill="auto"/>
            <w:noWrap/>
            <w:vAlign w:val="bottom"/>
            <w:hideMark/>
          </w:tcPr>
          <w:p w14:paraId="5B0E6B3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w:t>
            </w:r>
          </w:p>
        </w:tc>
      </w:tr>
      <w:tr w:rsidR="00BA4E22" w:rsidRPr="00BA4E22" w14:paraId="36D7538B" w14:textId="77777777" w:rsidTr="00317C22">
        <w:trPr>
          <w:cantSplit/>
        </w:trPr>
        <w:tc>
          <w:tcPr>
            <w:tcW w:w="1300" w:type="dxa"/>
            <w:tcBorders>
              <w:top w:val="nil"/>
              <w:left w:val="nil"/>
              <w:bottom w:val="nil"/>
              <w:right w:val="nil"/>
            </w:tcBorders>
            <w:shd w:val="clear" w:color="auto" w:fill="auto"/>
            <w:noWrap/>
            <w:vAlign w:val="bottom"/>
            <w:hideMark/>
          </w:tcPr>
          <w:p w14:paraId="6D3405A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47</w:t>
            </w:r>
          </w:p>
        </w:tc>
        <w:tc>
          <w:tcPr>
            <w:tcW w:w="1300" w:type="dxa"/>
            <w:tcBorders>
              <w:top w:val="nil"/>
              <w:left w:val="nil"/>
              <w:bottom w:val="nil"/>
              <w:right w:val="nil"/>
            </w:tcBorders>
            <w:shd w:val="clear" w:color="auto" w:fill="auto"/>
            <w:noWrap/>
            <w:vAlign w:val="bottom"/>
            <w:hideMark/>
          </w:tcPr>
          <w:p w14:paraId="7FC9E96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225</w:t>
            </w:r>
          </w:p>
        </w:tc>
        <w:tc>
          <w:tcPr>
            <w:tcW w:w="1300" w:type="dxa"/>
            <w:tcBorders>
              <w:top w:val="nil"/>
              <w:left w:val="nil"/>
              <w:bottom w:val="nil"/>
              <w:right w:val="nil"/>
            </w:tcBorders>
            <w:shd w:val="clear" w:color="auto" w:fill="auto"/>
            <w:noWrap/>
            <w:vAlign w:val="bottom"/>
            <w:hideMark/>
          </w:tcPr>
          <w:p w14:paraId="000BF98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334</w:t>
            </w:r>
          </w:p>
        </w:tc>
        <w:tc>
          <w:tcPr>
            <w:tcW w:w="520" w:type="dxa"/>
            <w:tcBorders>
              <w:top w:val="nil"/>
              <w:left w:val="nil"/>
              <w:bottom w:val="nil"/>
              <w:right w:val="nil"/>
            </w:tcBorders>
            <w:shd w:val="clear" w:color="auto" w:fill="auto"/>
            <w:noWrap/>
            <w:vAlign w:val="bottom"/>
            <w:hideMark/>
          </w:tcPr>
          <w:p w14:paraId="666F5853"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589C442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90</w:t>
            </w:r>
          </w:p>
        </w:tc>
        <w:tc>
          <w:tcPr>
            <w:tcW w:w="1300" w:type="dxa"/>
            <w:tcBorders>
              <w:top w:val="nil"/>
              <w:left w:val="nil"/>
              <w:bottom w:val="nil"/>
              <w:right w:val="nil"/>
            </w:tcBorders>
            <w:shd w:val="clear" w:color="auto" w:fill="auto"/>
            <w:noWrap/>
            <w:vAlign w:val="bottom"/>
            <w:hideMark/>
          </w:tcPr>
          <w:p w14:paraId="7DEFE8D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13</w:t>
            </w:r>
          </w:p>
        </w:tc>
        <w:tc>
          <w:tcPr>
            <w:tcW w:w="1300" w:type="dxa"/>
            <w:tcBorders>
              <w:top w:val="nil"/>
              <w:left w:val="nil"/>
              <w:bottom w:val="nil"/>
              <w:right w:val="nil"/>
            </w:tcBorders>
            <w:shd w:val="clear" w:color="auto" w:fill="auto"/>
            <w:noWrap/>
            <w:vAlign w:val="bottom"/>
            <w:hideMark/>
          </w:tcPr>
          <w:p w14:paraId="77C40A9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34</w:t>
            </w:r>
          </w:p>
        </w:tc>
      </w:tr>
      <w:tr w:rsidR="00BA4E22" w:rsidRPr="00BA4E22" w14:paraId="78E9471D" w14:textId="77777777" w:rsidTr="00317C22">
        <w:trPr>
          <w:cantSplit/>
        </w:trPr>
        <w:tc>
          <w:tcPr>
            <w:tcW w:w="1300" w:type="dxa"/>
            <w:tcBorders>
              <w:top w:val="nil"/>
              <w:left w:val="nil"/>
              <w:bottom w:val="nil"/>
              <w:right w:val="nil"/>
            </w:tcBorders>
            <w:shd w:val="clear" w:color="auto" w:fill="auto"/>
            <w:noWrap/>
            <w:vAlign w:val="bottom"/>
            <w:hideMark/>
          </w:tcPr>
          <w:p w14:paraId="7DACCBB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48</w:t>
            </w:r>
          </w:p>
        </w:tc>
        <w:tc>
          <w:tcPr>
            <w:tcW w:w="1300" w:type="dxa"/>
            <w:tcBorders>
              <w:top w:val="nil"/>
              <w:left w:val="nil"/>
              <w:bottom w:val="nil"/>
              <w:right w:val="nil"/>
            </w:tcBorders>
            <w:shd w:val="clear" w:color="auto" w:fill="auto"/>
            <w:noWrap/>
            <w:vAlign w:val="bottom"/>
            <w:hideMark/>
          </w:tcPr>
          <w:p w14:paraId="6911267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218</w:t>
            </w:r>
          </w:p>
        </w:tc>
        <w:tc>
          <w:tcPr>
            <w:tcW w:w="1300" w:type="dxa"/>
            <w:tcBorders>
              <w:top w:val="nil"/>
              <w:left w:val="nil"/>
              <w:bottom w:val="nil"/>
              <w:right w:val="nil"/>
            </w:tcBorders>
            <w:shd w:val="clear" w:color="auto" w:fill="auto"/>
            <w:noWrap/>
            <w:vAlign w:val="bottom"/>
            <w:hideMark/>
          </w:tcPr>
          <w:p w14:paraId="51FD998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285</w:t>
            </w:r>
          </w:p>
        </w:tc>
        <w:tc>
          <w:tcPr>
            <w:tcW w:w="520" w:type="dxa"/>
            <w:tcBorders>
              <w:top w:val="nil"/>
              <w:left w:val="nil"/>
              <w:bottom w:val="nil"/>
              <w:right w:val="nil"/>
            </w:tcBorders>
            <w:shd w:val="clear" w:color="auto" w:fill="auto"/>
            <w:noWrap/>
            <w:vAlign w:val="bottom"/>
            <w:hideMark/>
          </w:tcPr>
          <w:p w14:paraId="08F83C12"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3625387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91</w:t>
            </w:r>
          </w:p>
        </w:tc>
        <w:tc>
          <w:tcPr>
            <w:tcW w:w="1300" w:type="dxa"/>
            <w:tcBorders>
              <w:top w:val="nil"/>
              <w:left w:val="nil"/>
              <w:bottom w:val="nil"/>
              <w:right w:val="nil"/>
            </w:tcBorders>
            <w:shd w:val="clear" w:color="auto" w:fill="auto"/>
            <w:noWrap/>
            <w:vAlign w:val="bottom"/>
            <w:hideMark/>
          </w:tcPr>
          <w:p w14:paraId="4CF3CA0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w:t>
            </w:r>
          </w:p>
        </w:tc>
        <w:tc>
          <w:tcPr>
            <w:tcW w:w="1300" w:type="dxa"/>
            <w:tcBorders>
              <w:top w:val="nil"/>
              <w:left w:val="nil"/>
              <w:bottom w:val="nil"/>
              <w:right w:val="nil"/>
            </w:tcBorders>
            <w:shd w:val="clear" w:color="auto" w:fill="auto"/>
            <w:noWrap/>
            <w:vAlign w:val="bottom"/>
            <w:hideMark/>
          </w:tcPr>
          <w:p w14:paraId="3F99589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19</w:t>
            </w:r>
          </w:p>
        </w:tc>
      </w:tr>
      <w:tr w:rsidR="00BA4E22" w:rsidRPr="00BA4E22" w14:paraId="4EBF8B3D" w14:textId="77777777" w:rsidTr="00317C22">
        <w:trPr>
          <w:cantSplit/>
        </w:trPr>
        <w:tc>
          <w:tcPr>
            <w:tcW w:w="1300" w:type="dxa"/>
            <w:tcBorders>
              <w:top w:val="nil"/>
              <w:left w:val="nil"/>
              <w:bottom w:val="nil"/>
              <w:right w:val="nil"/>
            </w:tcBorders>
            <w:shd w:val="clear" w:color="auto" w:fill="auto"/>
            <w:noWrap/>
            <w:vAlign w:val="bottom"/>
            <w:hideMark/>
          </w:tcPr>
          <w:p w14:paraId="285A19B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49</w:t>
            </w:r>
          </w:p>
        </w:tc>
        <w:tc>
          <w:tcPr>
            <w:tcW w:w="1300" w:type="dxa"/>
            <w:tcBorders>
              <w:top w:val="nil"/>
              <w:left w:val="nil"/>
              <w:bottom w:val="nil"/>
              <w:right w:val="nil"/>
            </w:tcBorders>
            <w:shd w:val="clear" w:color="auto" w:fill="auto"/>
            <w:noWrap/>
            <w:vAlign w:val="bottom"/>
            <w:hideMark/>
          </w:tcPr>
          <w:p w14:paraId="2398ACB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228</w:t>
            </w:r>
          </w:p>
        </w:tc>
        <w:tc>
          <w:tcPr>
            <w:tcW w:w="1300" w:type="dxa"/>
            <w:tcBorders>
              <w:top w:val="nil"/>
              <w:left w:val="nil"/>
              <w:bottom w:val="nil"/>
              <w:right w:val="nil"/>
            </w:tcBorders>
            <w:shd w:val="clear" w:color="auto" w:fill="auto"/>
            <w:noWrap/>
            <w:vAlign w:val="bottom"/>
            <w:hideMark/>
          </w:tcPr>
          <w:p w14:paraId="332797C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313</w:t>
            </w:r>
          </w:p>
        </w:tc>
        <w:tc>
          <w:tcPr>
            <w:tcW w:w="520" w:type="dxa"/>
            <w:tcBorders>
              <w:top w:val="nil"/>
              <w:left w:val="nil"/>
              <w:bottom w:val="nil"/>
              <w:right w:val="nil"/>
            </w:tcBorders>
            <w:shd w:val="clear" w:color="auto" w:fill="auto"/>
            <w:noWrap/>
            <w:vAlign w:val="bottom"/>
            <w:hideMark/>
          </w:tcPr>
          <w:p w14:paraId="10F70504"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6F881BC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92</w:t>
            </w:r>
          </w:p>
        </w:tc>
        <w:tc>
          <w:tcPr>
            <w:tcW w:w="1300" w:type="dxa"/>
            <w:tcBorders>
              <w:top w:val="nil"/>
              <w:left w:val="nil"/>
              <w:bottom w:val="nil"/>
              <w:right w:val="nil"/>
            </w:tcBorders>
            <w:shd w:val="clear" w:color="auto" w:fill="auto"/>
            <w:noWrap/>
            <w:vAlign w:val="bottom"/>
            <w:hideMark/>
          </w:tcPr>
          <w:p w14:paraId="539DA8E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w:t>
            </w:r>
          </w:p>
        </w:tc>
        <w:tc>
          <w:tcPr>
            <w:tcW w:w="1300" w:type="dxa"/>
            <w:tcBorders>
              <w:top w:val="nil"/>
              <w:left w:val="nil"/>
              <w:bottom w:val="nil"/>
              <w:right w:val="nil"/>
            </w:tcBorders>
            <w:shd w:val="clear" w:color="auto" w:fill="auto"/>
            <w:noWrap/>
            <w:vAlign w:val="bottom"/>
            <w:hideMark/>
          </w:tcPr>
          <w:p w14:paraId="6264C3F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15</w:t>
            </w:r>
          </w:p>
        </w:tc>
      </w:tr>
      <w:tr w:rsidR="00BA4E22" w:rsidRPr="00BA4E22" w14:paraId="78BF4705" w14:textId="77777777" w:rsidTr="00317C22">
        <w:trPr>
          <w:cantSplit/>
        </w:trPr>
        <w:tc>
          <w:tcPr>
            <w:tcW w:w="1300" w:type="dxa"/>
            <w:tcBorders>
              <w:top w:val="nil"/>
              <w:left w:val="nil"/>
              <w:bottom w:val="nil"/>
              <w:right w:val="nil"/>
            </w:tcBorders>
            <w:shd w:val="clear" w:color="auto" w:fill="auto"/>
            <w:noWrap/>
            <w:vAlign w:val="bottom"/>
            <w:hideMark/>
          </w:tcPr>
          <w:p w14:paraId="254D843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50</w:t>
            </w:r>
          </w:p>
        </w:tc>
        <w:tc>
          <w:tcPr>
            <w:tcW w:w="1300" w:type="dxa"/>
            <w:tcBorders>
              <w:top w:val="nil"/>
              <w:left w:val="nil"/>
              <w:bottom w:val="nil"/>
              <w:right w:val="nil"/>
            </w:tcBorders>
            <w:shd w:val="clear" w:color="auto" w:fill="auto"/>
            <w:noWrap/>
            <w:vAlign w:val="bottom"/>
            <w:hideMark/>
          </w:tcPr>
          <w:p w14:paraId="29D52E4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259</w:t>
            </w:r>
          </w:p>
        </w:tc>
        <w:tc>
          <w:tcPr>
            <w:tcW w:w="1300" w:type="dxa"/>
            <w:tcBorders>
              <w:top w:val="nil"/>
              <w:left w:val="nil"/>
              <w:bottom w:val="nil"/>
              <w:right w:val="nil"/>
            </w:tcBorders>
            <w:shd w:val="clear" w:color="auto" w:fill="auto"/>
            <w:noWrap/>
            <w:vAlign w:val="bottom"/>
            <w:hideMark/>
          </w:tcPr>
          <w:p w14:paraId="725C676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319</w:t>
            </w:r>
          </w:p>
        </w:tc>
        <w:tc>
          <w:tcPr>
            <w:tcW w:w="520" w:type="dxa"/>
            <w:tcBorders>
              <w:top w:val="nil"/>
              <w:left w:val="nil"/>
              <w:bottom w:val="nil"/>
              <w:right w:val="nil"/>
            </w:tcBorders>
            <w:shd w:val="clear" w:color="auto" w:fill="auto"/>
            <w:noWrap/>
            <w:vAlign w:val="bottom"/>
            <w:hideMark/>
          </w:tcPr>
          <w:p w14:paraId="5DF6C010"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5E331F1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93</w:t>
            </w:r>
          </w:p>
        </w:tc>
        <w:tc>
          <w:tcPr>
            <w:tcW w:w="1300" w:type="dxa"/>
            <w:tcBorders>
              <w:top w:val="nil"/>
              <w:left w:val="nil"/>
              <w:bottom w:val="nil"/>
              <w:right w:val="nil"/>
            </w:tcBorders>
            <w:shd w:val="clear" w:color="auto" w:fill="auto"/>
            <w:noWrap/>
            <w:vAlign w:val="bottom"/>
            <w:hideMark/>
          </w:tcPr>
          <w:p w14:paraId="6A3DC50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w:t>
            </w:r>
          </w:p>
        </w:tc>
        <w:tc>
          <w:tcPr>
            <w:tcW w:w="1300" w:type="dxa"/>
            <w:tcBorders>
              <w:top w:val="nil"/>
              <w:left w:val="nil"/>
              <w:bottom w:val="nil"/>
              <w:right w:val="nil"/>
            </w:tcBorders>
            <w:shd w:val="clear" w:color="auto" w:fill="auto"/>
            <w:noWrap/>
            <w:vAlign w:val="bottom"/>
            <w:hideMark/>
          </w:tcPr>
          <w:p w14:paraId="5EBC4C1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8</w:t>
            </w:r>
          </w:p>
        </w:tc>
      </w:tr>
      <w:tr w:rsidR="00BA4E22" w:rsidRPr="00BA4E22" w14:paraId="425C676A" w14:textId="77777777" w:rsidTr="00317C22">
        <w:trPr>
          <w:cantSplit/>
        </w:trPr>
        <w:tc>
          <w:tcPr>
            <w:tcW w:w="1300" w:type="dxa"/>
            <w:tcBorders>
              <w:top w:val="nil"/>
              <w:left w:val="nil"/>
              <w:bottom w:val="nil"/>
              <w:right w:val="nil"/>
            </w:tcBorders>
            <w:shd w:val="clear" w:color="auto" w:fill="auto"/>
            <w:noWrap/>
            <w:vAlign w:val="bottom"/>
            <w:hideMark/>
          </w:tcPr>
          <w:p w14:paraId="5D148E0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51</w:t>
            </w:r>
          </w:p>
        </w:tc>
        <w:tc>
          <w:tcPr>
            <w:tcW w:w="1300" w:type="dxa"/>
            <w:tcBorders>
              <w:top w:val="nil"/>
              <w:left w:val="nil"/>
              <w:bottom w:val="nil"/>
              <w:right w:val="nil"/>
            </w:tcBorders>
            <w:shd w:val="clear" w:color="auto" w:fill="auto"/>
            <w:noWrap/>
            <w:vAlign w:val="bottom"/>
            <w:hideMark/>
          </w:tcPr>
          <w:p w14:paraId="78990B6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219</w:t>
            </w:r>
          </w:p>
        </w:tc>
        <w:tc>
          <w:tcPr>
            <w:tcW w:w="1300" w:type="dxa"/>
            <w:tcBorders>
              <w:top w:val="nil"/>
              <w:left w:val="nil"/>
              <w:bottom w:val="nil"/>
              <w:right w:val="nil"/>
            </w:tcBorders>
            <w:shd w:val="clear" w:color="auto" w:fill="auto"/>
            <w:noWrap/>
            <w:vAlign w:val="bottom"/>
            <w:hideMark/>
          </w:tcPr>
          <w:p w14:paraId="2256D04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297</w:t>
            </w:r>
          </w:p>
        </w:tc>
        <w:tc>
          <w:tcPr>
            <w:tcW w:w="520" w:type="dxa"/>
            <w:tcBorders>
              <w:top w:val="nil"/>
              <w:left w:val="nil"/>
              <w:bottom w:val="nil"/>
              <w:right w:val="nil"/>
            </w:tcBorders>
            <w:shd w:val="clear" w:color="auto" w:fill="auto"/>
            <w:noWrap/>
            <w:vAlign w:val="bottom"/>
            <w:hideMark/>
          </w:tcPr>
          <w:p w14:paraId="7781CCD9"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499C877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94</w:t>
            </w:r>
          </w:p>
        </w:tc>
        <w:tc>
          <w:tcPr>
            <w:tcW w:w="1300" w:type="dxa"/>
            <w:tcBorders>
              <w:top w:val="nil"/>
              <w:left w:val="nil"/>
              <w:bottom w:val="nil"/>
              <w:right w:val="nil"/>
            </w:tcBorders>
            <w:shd w:val="clear" w:color="auto" w:fill="auto"/>
            <w:noWrap/>
            <w:vAlign w:val="bottom"/>
            <w:hideMark/>
          </w:tcPr>
          <w:p w14:paraId="1506743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4</w:t>
            </w:r>
          </w:p>
        </w:tc>
        <w:tc>
          <w:tcPr>
            <w:tcW w:w="1300" w:type="dxa"/>
            <w:tcBorders>
              <w:top w:val="nil"/>
              <w:left w:val="nil"/>
              <w:bottom w:val="nil"/>
              <w:right w:val="nil"/>
            </w:tcBorders>
            <w:shd w:val="clear" w:color="auto" w:fill="auto"/>
            <w:noWrap/>
            <w:vAlign w:val="bottom"/>
            <w:hideMark/>
          </w:tcPr>
          <w:p w14:paraId="33A454F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w:t>
            </w:r>
          </w:p>
        </w:tc>
      </w:tr>
      <w:tr w:rsidR="00BA4E22" w:rsidRPr="00BA4E22" w14:paraId="6AED9861" w14:textId="77777777" w:rsidTr="00317C22">
        <w:trPr>
          <w:cantSplit/>
        </w:trPr>
        <w:tc>
          <w:tcPr>
            <w:tcW w:w="1300" w:type="dxa"/>
            <w:tcBorders>
              <w:top w:val="nil"/>
              <w:left w:val="nil"/>
              <w:bottom w:val="nil"/>
              <w:right w:val="nil"/>
            </w:tcBorders>
            <w:shd w:val="clear" w:color="auto" w:fill="auto"/>
            <w:noWrap/>
            <w:vAlign w:val="bottom"/>
            <w:hideMark/>
          </w:tcPr>
          <w:p w14:paraId="6DF8259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52</w:t>
            </w:r>
          </w:p>
        </w:tc>
        <w:tc>
          <w:tcPr>
            <w:tcW w:w="1300" w:type="dxa"/>
            <w:tcBorders>
              <w:top w:val="nil"/>
              <w:left w:val="nil"/>
              <w:bottom w:val="nil"/>
              <w:right w:val="nil"/>
            </w:tcBorders>
            <w:shd w:val="clear" w:color="auto" w:fill="auto"/>
            <w:noWrap/>
            <w:vAlign w:val="bottom"/>
            <w:hideMark/>
          </w:tcPr>
          <w:p w14:paraId="63C835F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248</w:t>
            </w:r>
          </w:p>
        </w:tc>
        <w:tc>
          <w:tcPr>
            <w:tcW w:w="1300" w:type="dxa"/>
            <w:tcBorders>
              <w:top w:val="nil"/>
              <w:left w:val="nil"/>
              <w:bottom w:val="nil"/>
              <w:right w:val="nil"/>
            </w:tcBorders>
            <w:shd w:val="clear" w:color="auto" w:fill="auto"/>
            <w:noWrap/>
            <w:vAlign w:val="bottom"/>
            <w:hideMark/>
          </w:tcPr>
          <w:p w14:paraId="12CBA35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283</w:t>
            </w:r>
          </w:p>
        </w:tc>
        <w:tc>
          <w:tcPr>
            <w:tcW w:w="520" w:type="dxa"/>
            <w:tcBorders>
              <w:top w:val="nil"/>
              <w:left w:val="nil"/>
              <w:bottom w:val="nil"/>
              <w:right w:val="nil"/>
            </w:tcBorders>
            <w:shd w:val="clear" w:color="auto" w:fill="auto"/>
            <w:noWrap/>
            <w:vAlign w:val="bottom"/>
            <w:hideMark/>
          </w:tcPr>
          <w:p w14:paraId="2946338C"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5344DC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95</w:t>
            </w:r>
          </w:p>
        </w:tc>
        <w:tc>
          <w:tcPr>
            <w:tcW w:w="1300" w:type="dxa"/>
            <w:tcBorders>
              <w:top w:val="nil"/>
              <w:left w:val="nil"/>
              <w:bottom w:val="nil"/>
              <w:right w:val="nil"/>
            </w:tcBorders>
            <w:shd w:val="clear" w:color="auto" w:fill="auto"/>
            <w:noWrap/>
            <w:vAlign w:val="bottom"/>
            <w:hideMark/>
          </w:tcPr>
          <w:p w14:paraId="42980BC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w:t>
            </w:r>
          </w:p>
        </w:tc>
        <w:tc>
          <w:tcPr>
            <w:tcW w:w="1300" w:type="dxa"/>
            <w:tcBorders>
              <w:top w:val="nil"/>
              <w:left w:val="nil"/>
              <w:bottom w:val="nil"/>
              <w:right w:val="nil"/>
            </w:tcBorders>
            <w:shd w:val="clear" w:color="auto" w:fill="auto"/>
            <w:noWrap/>
            <w:vAlign w:val="bottom"/>
            <w:hideMark/>
          </w:tcPr>
          <w:p w14:paraId="5E07C3C0"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w:t>
            </w:r>
          </w:p>
        </w:tc>
      </w:tr>
      <w:tr w:rsidR="00BA4E22" w:rsidRPr="00BA4E22" w14:paraId="73AE585D" w14:textId="77777777" w:rsidTr="00317C22">
        <w:trPr>
          <w:cantSplit/>
        </w:trPr>
        <w:tc>
          <w:tcPr>
            <w:tcW w:w="1300" w:type="dxa"/>
            <w:tcBorders>
              <w:top w:val="nil"/>
              <w:left w:val="nil"/>
              <w:bottom w:val="nil"/>
              <w:right w:val="nil"/>
            </w:tcBorders>
            <w:shd w:val="clear" w:color="auto" w:fill="auto"/>
            <w:noWrap/>
            <w:vAlign w:val="bottom"/>
            <w:hideMark/>
          </w:tcPr>
          <w:p w14:paraId="37FBB63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53</w:t>
            </w:r>
          </w:p>
        </w:tc>
        <w:tc>
          <w:tcPr>
            <w:tcW w:w="1300" w:type="dxa"/>
            <w:tcBorders>
              <w:top w:val="nil"/>
              <w:left w:val="nil"/>
              <w:bottom w:val="nil"/>
              <w:right w:val="nil"/>
            </w:tcBorders>
            <w:shd w:val="clear" w:color="auto" w:fill="auto"/>
            <w:noWrap/>
            <w:vAlign w:val="bottom"/>
            <w:hideMark/>
          </w:tcPr>
          <w:p w14:paraId="4E89B13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209</w:t>
            </w:r>
          </w:p>
        </w:tc>
        <w:tc>
          <w:tcPr>
            <w:tcW w:w="1300" w:type="dxa"/>
            <w:tcBorders>
              <w:top w:val="nil"/>
              <w:left w:val="nil"/>
              <w:bottom w:val="nil"/>
              <w:right w:val="nil"/>
            </w:tcBorders>
            <w:shd w:val="clear" w:color="auto" w:fill="auto"/>
            <w:noWrap/>
            <w:vAlign w:val="bottom"/>
            <w:hideMark/>
          </w:tcPr>
          <w:p w14:paraId="135FAFD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289</w:t>
            </w:r>
          </w:p>
        </w:tc>
        <w:tc>
          <w:tcPr>
            <w:tcW w:w="520" w:type="dxa"/>
            <w:tcBorders>
              <w:top w:val="nil"/>
              <w:left w:val="nil"/>
              <w:bottom w:val="nil"/>
              <w:right w:val="nil"/>
            </w:tcBorders>
            <w:shd w:val="clear" w:color="auto" w:fill="auto"/>
            <w:noWrap/>
            <w:vAlign w:val="bottom"/>
            <w:hideMark/>
          </w:tcPr>
          <w:p w14:paraId="58EAB648"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3F5FD1C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96</w:t>
            </w:r>
          </w:p>
        </w:tc>
        <w:tc>
          <w:tcPr>
            <w:tcW w:w="1300" w:type="dxa"/>
            <w:tcBorders>
              <w:top w:val="nil"/>
              <w:left w:val="nil"/>
              <w:bottom w:val="nil"/>
              <w:right w:val="nil"/>
            </w:tcBorders>
            <w:shd w:val="clear" w:color="auto" w:fill="auto"/>
            <w:noWrap/>
            <w:vAlign w:val="bottom"/>
            <w:hideMark/>
          </w:tcPr>
          <w:p w14:paraId="5A00AA0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w:t>
            </w:r>
          </w:p>
        </w:tc>
        <w:tc>
          <w:tcPr>
            <w:tcW w:w="1300" w:type="dxa"/>
            <w:tcBorders>
              <w:top w:val="nil"/>
              <w:left w:val="nil"/>
              <w:bottom w:val="nil"/>
              <w:right w:val="nil"/>
            </w:tcBorders>
            <w:shd w:val="clear" w:color="auto" w:fill="auto"/>
            <w:noWrap/>
            <w:vAlign w:val="bottom"/>
            <w:hideMark/>
          </w:tcPr>
          <w:p w14:paraId="6687680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w:t>
            </w:r>
          </w:p>
        </w:tc>
      </w:tr>
      <w:tr w:rsidR="00BA4E22" w:rsidRPr="00BA4E22" w14:paraId="389066D1" w14:textId="77777777" w:rsidTr="00317C22">
        <w:trPr>
          <w:cantSplit/>
        </w:trPr>
        <w:tc>
          <w:tcPr>
            <w:tcW w:w="1300" w:type="dxa"/>
            <w:tcBorders>
              <w:top w:val="nil"/>
              <w:left w:val="nil"/>
              <w:bottom w:val="nil"/>
              <w:right w:val="nil"/>
            </w:tcBorders>
            <w:shd w:val="clear" w:color="auto" w:fill="auto"/>
            <w:noWrap/>
            <w:vAlign w:val="bottom"/>
            <w:hideMark/>
          </w:tcPr>
          <w:p w14:paraId="0280CBBE"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54</w:t>
            </w:r>
          </w:p>
        </w:tc>
        <w:tc>
          <w:tcPr>
            <w:tcW w:w="1300" w:type="dxa"/>
            <w:tcBorders>
              <w:top w:val="nil"/>
              <w:left w:val="nil"/>
              <w:bottom w:val="nil"/>
              <w:right w:val="nil"/>
            </w:tcBorders>
            <w:shd w:val="clear" w:color="auto" w:fill="auto"/>
            <w:noWrap/>
            <w:vAlign w:val="bottom"/>
            <w:hideMark/>
          </w:tcPr>
          <w:p w14:paraId="2214F77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215</w:t>
            </w:r>
          </w:p>
        </w:tc>
        <w:tc>
          <w:tcPr>
            <w:tcW w:w="1300" w:type="dxa"/>
            <w:tcBorders>
              <w:top w:val="nil"/>
              <w:left w:val="nil"/>
              <w:bottom w:val="nil"/>
              <w:right w:val="nil"/>
            </w:tcBorders>
            <w:shd w:val="clear" w:color="auto" w:fill="auto"/>
            <w:noWrap/>
            <w:vAlign w:val="bottom"/>
            <w:hideMark/>
          </w:tcPr>
          <w:p w14:paraId="19674A7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290</w:t>
            </w:r>
          </w:p>
        </w:tc>
        <w:tc>
          <w:tcPr>
            <w:tcW w:w="520" w:type="dxa"/>
            <w:tcBorders>
              <w:top w:val="nil"/>
              <w:left w:val="nil"/>
              <w:bottom w:val="nil"/>
              <w:right w:val="nil"/>
            </w:tcBorders>
            <w:shd w:val="clear" w:color="auto" w:fill="auto"/>
            <w:noWrap/>
            <w:vAlign w:val="bottom"/>
            <w:hideMark/>
          </w:tcPr>
          <w:p w14:paraId="2AA139E2"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6366DD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97</w:t>
            </w:r>
          </w:p>
        </w:tc>
        <w:tc>
          <w:tcPr>
            <w:tcW w:w="1300" w:type="dxa"/>
            <w:tcBorders>
              <w:top w:val="nil"/>
              <w:left w:val="nil"/>
              <w:bottom w:val="nil"/>
              <w:right w:val="nil"/>
            </w:tcBorders>
            <w:shd w:val="clear" w:color="auto" w:fill="auto"/>
            <w:noWrap/>
            <w:vAlign w:val="bottom"/>
            <w:hideMark/>
          </w:tcPr>
          <w:p w14:paraId="7120A9A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w:t>
            </w:r>
          </w:p>
        </w:tc>
        <w:tc>
          <w:tcPr>
            <w:tcW w:w="1300" w:type="dxa"/>
            <w:tcBorders>
              <w:top w:val="nil"/>
              <w:left w:val="nil"/>
              <w:bottom w:val="nil"/>
              <w:right w:val="nil"/>
            </w:tcBorders>
            <w:shd w:val="clear" w:color="auto" w:fill="auto"/>
            <w:noWrap/>
            <w:vAlign w:val="bottom"/>
            <w:hideMark/>
          </w:tcPr>
          <w:p w14:paraId="0D19F9CA"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w:t>
            </w:r>
          </w:p>
        </w:tc>
      </w:tr>
      <w:tr w:rsidR="00BA4E22" w:rsidRPr="00BA4E22" w14:paraId="443D6AFE" w14:textId="77777777" w:rsidTr="00317C22">
        <w:trPr>
          <w:cantSplit/>
        </w:trPr>
        <w:tc>
          <w:tcPr>
            <w:tcW w:w="1300" w:type="dxa"/>
            <w:tcBorders>
              <w:top w:val="nil"/>
              <w:left w:val="nil"/>
              <w:bottom w:val="nil"/>
              <w:right w:val="nil"/>
            </w:tcBorders>
            <w:shd w:val="clear" w:color="auto" w:fill="auto"/>
            <w:noWrap/>
            <w:vAlign w:val="bottom"/>
            <w:hideMark/>
          </w:tcPr>
          <w:p w14:paraId="16C52EC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55</w:t>
            </w:r>
          </w:p>
        </w:tc>
        <w:tc>
          <w:tcPr>
            <w:tcW w:w="1300" w:type="dxa"/>
            <w:tcBorders>
              <w:top w:val="nil"/>
              <w:left w:val="nil"/>
              <w:bottom w:val="nil"/>
              <w:right w:val="nil"/>
            </w:tcBorders>
            <w:shd w:val="clear" w:color="auto" w:fill="auto"/>
            <w:noWrap/>
            <w:vAlign w:val="bottom"/>
            <w:hideMark/>
          </w:tcPr>
          <w:p w14:paraId="259F58E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238</w:t>
            </w:r>
          </w:p>
        </w:tc>
        <w:tc>
          <w:tcPr>
            <w:tcW w:w="1300" w:type="dxa"/>
            <w:tcBorders>
              <w:top w:val="nil"/>
              <w:left w:val="nil"/>
              <w:bottom w:val="nil"/>
              <w:right w:val="nil"/>
            </w:tcBorders>
            <w:shd w:val="clear" w:color="auto" w:fill="auto"/>
            <w:noWrap/>
            <w:vAlign w:val="bottom"/>
            <w:hideMark/>
          </w:tcPr>
          <w:p w14:paraId="6D21CDD6"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316</w:t>
            </w:r>
          </w:p>
        </w:tc>
        <w:tc>
          <w:tcPr>
            <w:tcW w:w="520" w:type="dxa"/>
            <w:tcBorders>
              <w:top w:val="nil"/>
              <w:left w:val="nil"/>
              <w:bottom w:val="nil"/>
              <w:right w:val="nil"/>
            </w:tcBorders>
            <w:shd w:val="clear" w:color="auto" w:fill="auto"/>
            <w:noWrap/>
            <w:vAlign w:val="bottom"/>
            <w:hideMark/>
          </w:tcPr>
          <w:p w14:paraId="44E26E9F"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3DBAA88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98</w:t>
            </w:r>
          </w:p>
        </w:tc>
        <w:tc>
          <w:tcPr>
            <w:tcW w:w="1300" w:type="dxa"/>
            <w:tcBorders>
              <w:top w:val="nil"/>
              <w:left w:val="nil"/>
              <w:bottom w:val="nil"/>
              <w:right w:val="nil"/>
            </w:tcBorders>
            <w:shd w:val="clear" w:color="auto" w:fill="auto"/>
            <w:noWrap/>
            <w:vAlign w:val="bottom"/>
            <w:hideMark/>
          </w:tcPr>
          <w:p w14:paraId="3CE0D415"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0</w:t>
            </w:r>
          </w:p>
        </w:tc>
        <w:tc>
          <w:tcPr>
            <w:tcW w:w="1300" w:type="dxa"/>
            <w:tcBorders>
              <w:top w:val="nil"/>
              <w:left w:val="nil"/>
              <w:bottom w:val="nil"/>
              <w:right w:val="nil"/>
            </w:tcBorders>
            <w:shd w:val="clear" w:color="auto" w:fill="auto"/>
            <w:noWrap/>
            <w:vAlign w:val="bottom"/>
            <w:hideMark/>
          </w:tcPr>
          <w:p w14:paraId="1834FF9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w:t>
            </w:r>
          </w:p>
        </w:tc>
      </w:tr>
      <w:tr w:rsidR="00BA4E22" w:rsidRPr="00BA4E22" w14:paraId="4A644AD5" w14:textId="77777777" w:rsidTr="00317C22">
        <w:trPr>
          <w:cantSplit/>
        </w:trPr>
        <w:tc>
          <w:tcPr>
            <w:tcW w:w="1300" w:type="dxa"/>
            <w:tcBorders>
              <w:top w:val="nil"/>
              <w:left w:val="nil"/>
              <w:bottom w:val="nil"/>
              <w:right w:val="nil"/>
            </w:tcBorders>
            <w:shd w:val="clear" w:color="auto" w:fill="auto"/>
            <w:noWrap/>
            <w:vAlign w:val="bottom"/>
            <w:hideMark/>
          </w:tcPr>
          <w:p w14:paraId="033E5BC8"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56</w:t>
            </w:r>
          </w:p>
        </w:tc>
        <w:tc>
          <w:tcPr>
            <w:tcW w:w="1300" w:type="dxa"/>
            <w:tcBorders>
              <w:top w:val="nil"/>
              <w:left w:val="nil"/>
              <w:bottom w:val="nil"/>
              <w:right w:val="nil"/>
            </w:tcBorders>
            <w:shd w:val="clear" w:color="auto" w:fill="auto"/>
            <w:noWrap/>
            <w:vAlign w:val="bottom"/>
            <w:hideMark/>
          </w:tcPr>
          <w:p w14:paraId="0A53C26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223</w:t>
            </w:r>
          </w:p>
        </w:tc>
        <w:tc>
          <w:tcPr>
            <w:tcW w:w="1300" w:type="dxa"/>
            <w:tcBorders>
              <w:top w:val="nil"/>
              <w:left w:val="nil"/>
              <w:bottom w:val="nil"/>
              <w:right w:val="nil"/>
            </w:tcBorders>
            <w:shd w:val="clear" w:color="auto" w:fill="auto"/>
            <w:noWrap/>
            <w:vAlign w:val="bottom"/>
            <w:hideMark/>
          </w:tcPr>
          <w:p w14:paraId="4A55AC7B"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300</w:t>
            </w:r>
          </w:p>
        </w:tc>
        <w:tc>
          <w:tcPr>
            <w:tcW w:w="520" w:type="dxa"/>
            <w:tcBorders>
              <w:top w:val="nil"/>
              <w:left w:val="nil"/>
              <w:bottom w:val="nil"/>
              <w:right w:val="nil"/>
            </w:tcBorders>
            <w:shd w:val="clear" w:color="auto" w:fill="auto"/>
            <w:noWrap/>
            <w:vAlign w:val="bottom"/>
            <w:hideMark/>
          </w:tcPr>
          <w:p w14:paraId="53C6CAF5"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C64F339"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100</w:t>
            </w:r>
          </w:p>
        </w:tc>
        <w:tc>
          <w:tcPr>
            <w:tcW w:w="1300" w:type="dxa"/>
            <w:tcBorders>
              <w:top w:val="nil"/>
              <w:left w:val="nil"/>
              <w:bottom w:val="nil"/>
              <w:right w:val="nil"/>
            </w:tcBorders>
            <w:shd w:val="clear" w:color="auto" w:fill="auto"/>
            <w:noWrap/>
            <w:vAlign w:val="bottom"/>
            <w:hideMark/>
          </w:tcPr>
          <w:p w14:paraId="17D3797F"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0</w:t>
            </w:r>
          </w:p>
        </w:tc>
        <w:tc>
          <w:tcPr>
            <w:tcW w:w="1300" w:type="dxa"/>
            <w:tcBorders>
              <w:top w:val="nil"/>
              <w:left w:val="nil"/>
              <w:bottom w:val="nil"/>
              <w:right w:val="nil"/>
            </w:tcBorders>
            <w:shd w:val="clear" w:color="auto" w:fill="auto"/>
            <w:noWrap/>
            <w:vAlign w:val="bottom"/>
            <w:hideMark/>
          </w:tcPr>
          <w:p w14:paraId="26E8C1EC"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w:t>
            </w:r>
          </w:p>
        </w:tc>
      </w:tr>
      <w:tr w:rsidR="00BA4E22" w:rsidRPr="00BA4E22" w14:paraId="352BD71C" w14:textId="77777777" w:rsidTr="00317C22">
        <w:trPr>
          <w:cantSplit/>
        </w:trPr>
        <w:tc>
          <w:tcPr>
            <w:tcW w:w="1300" w:type="dxa"/>
            <w:tcBorders>
              <w:top w:val="nil"/>
              <w:left w:val="nil"/>
              <w:bottom w:val="nil"/>
              <w:right w:val="nil"/>
            </w:tcBorders>
            <w:shd w:val="clear" w:color="auto" w:fill="auto"/>
            <w:noWrap/>
            <w:vAlign w:val="bottom"/>
            <w:hideMark/>
          </w:tcPr>
          <w:p w14:paraId="0497ADE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57</w:t>
            </w:r>
          </w:p>
        </w:tc>
        <w:tc>
          <w:tcPr>
            <w:tcW w:w="1300" w:type="dxa"/>
            <w:tcBorders>
              <w:top w:val="nil"/>
              <w:left w:val="nil"/>
              <w:bottom w:val="nil"/>
              <w:right w:val="nil"/>
            </w:tcBorders>
            <w:shd w:val="clear" w:color="auto" w:fill="auto"/>
            <w:noWrap/>
            <w:vAlign w:val="bottom"/>
            <w:hideMark/>
          </w:tcPr>
          <w:p w14:paraId="49F6B58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217</w:t>
            </w:r>
          </w:p>
        </w:tc>
        <w:tc>
          <w:tcPr>
            <w:tcW w:w="1300" w:type="dxa"/>
            <w:tcBorders>
              <w:top w:val="nil"/>
              <w:left w:val="nil"/>
              <w:bottom w:val="nil"/>
              <w:right w:val="nil"/>
            </w:tcBorders>
            <w:shd w:val="clear" w:color="auto" w:fill="auto"/>
            <w:noWrap/>
            <w:vAlign w:val="bottom"/>
            <w:hideMark/>
          </w:tcPr>
          <w:p w14:paraId="189E001D"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319</w:t>
            </w:r>
          </w:p>
        </w:tc>
        <w:tc>
          <w:tcPr>
            <w:tcW w:w="520" w:type="dxa"/>
            <w:tcBorders>
              <w:top w:val="nil"/>
              <w:left w:val="nil"/>
              <w:bottom w:val="nil"/>
              <w:right w:val="nil"/>
            </w:tcBorders>
            <w:shd w:val="clear" w:color="auto" w:fill="auto"/>
            <w:noWrap/>
            <w:vAlign w:val="bottom"/>
            <w:hideMark/>
          </w:tcPr>
          <w:p w14:paraId="007721BF" w14:textId="77777777" w:rsidR="00BA4E22" w:rsidRPr="00BA4E22" w:rsidRDefault="00BA4E22" w:rsidP="00BA4E22">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75563B41"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104</w:t>
            </w:r>
          </w:p>
        </w:tc>
        <w:tc>
          <w:tcPr>
            <w:tcW w:w="1300" w:type="dxa"/>
            <w:tcBorders>
              <w:top w:val="nil"/>
              <w:left w:val="nil"/>
              <w:bottom w:val="nil"/>
              <w:right w:val="nil"/>
            </w:tcBorders>
            <w:shd w:val="clear" w:color="auto" w:fill="auto"/>
            <w:noWrap/>
            <w:vAlign w:val="bottom"/>
            <w:hideMark/>
          </w:tcPr>
          <w:p w14:paraId="082C2687"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1</w:t>
            </w:r>
          </w:p>
        </w:tc>
        <w:tc>
          <w:tcPr>
            <w:tcW w:w="1300" w:type="dxa"/>
            <w:tcBorders>
              <w:top w:val="nil"/>
              <w:left w:val="nil"/>
              <w:bottom w:val="nil"/>
              <w:right w:val="nil"/>
            </w:tcBorders>
            <w:shd w:val="clear" w:color="auto" w:fill="auto"/>
            <w:noWrap/>
            <w:vAlign w:val="bottom"/>
            <w:hideMark/>
          </w:tcPr>
          <w:p w14:paraId="20CEB614"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0</w:t>
            </w:r>
          </w:p>
        </w:tc>
      </w:tr>
      <w:tr w:rsidR="00BA4E22" w:rsidRPr="00BA4E22" w14:paraId="190D05EB" w14:textId="77777777" w:rsidTr="00317C22">
        <w:trPr>
          <w:cantSplit/>
        </w:trPr>
        <w:tc>
          <w:tcPr>
            <w:tcW w:w="1300" w:type="dxa"/>
            <w:tcBorders>
              <w:top w:val="nil"/>
              <w:left w:val="nil"/>
              <w:bottom w:val="nil"/>
              <w:right w:val="nil"/>
            </w:tcBorders>
            <w:shd w:val="clear" w:color="auto" w:fill="auto"/>
            <w:noWrap/>
            <w:vAlign w:val="bottom"/>
            <w:hideMark/>
          </w:tcPr>
          <w:p w14:paraId="6DE82FB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58</w:t>
            </w:r>
          </w:p>
        </w:tc>
        <w:tc>
          <w:tcPr>
            <w:tcW w:w="1300" w:type="dxa"/>
            <w:tcBorders>
              <w:top w:val="nil"/>
              <w:left w:val="nil"/>
              <w:bottom w:val="nil"/>
              <w:right w:val="nil"/>
            </w:tcBorders>
            <w:shd w:val="clear" w:color="auto" w:fill="auto"/>
            <w:noWrap/>
            <w:vAlign w:val="bottom"/>
            <w:hideMark/>
          </w:tcPr>
          <w:p w14:paraId="7F7AE0C2"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213</w:t>
            </w:r>
          </w:p>
        </w:tc>
        <w:tc>
          <w:tcPr>
            <w:tcW w:w="1300" w:type="dxa"/>
            <w:tcBorders>
              <w:top w:val="nil"/>
              <w:left w:val="nil"/>
              <w:bottom w:val="nil"/>
              <w:right w:val="nil"/>
            </w:tcBorders>
            <w:shd w:val="clear" w:color="auto" w:fill="auto"/>
            <w:noWrap/>
            <w:vAlign w:val="bottom"/>
            <w:hideMark/>
          </w:tcPr>
          <w:p w14:paraId="280D60B3" w14:textId="77777777" w:rsidR="00BA4E22" w:rsidRPr="00BA4E22" w:rsidRDefault="00BA4E22" w:rsidP="00BA4E22">
            <w:pPr>
              <w:jc w:val="right"/>
              <w:rPr>
                <w:rFonts w:ascii="Calibri" w:eastAsia="Times New Roman" w:hAnsi="Calibri" w:cs="Times New Roman"/>
                <w:color w:val="000000"/>
                <w:sz w:val="22"/>
                <w:szCs w:val="20"/>
              </w:rPr>
            </w:pPr>
            <w:r w:rsidRPr="00BA4E22">
              <w:rPr>
                <w:rFonts w:ascii="Calibri" w:eastAsia="Times New Roman" w:hAnsi="Calibri" w:cs="Times New Roman"/>
                <w:color w:val="000000"/>
                <w:sz w:val="22"/>
                <w:szCs w:val="20"/>
              </w:rPr>
              <w:t>278</w:t>
            </w:r>
          </w:p>
        </w:tc>
        <w:tc>
          <w:tcPr>
            <w:tcW w:w="520" w:type="dxa"/>
            <w:tcBorders>
              <w:top w:val="nil"/>
              <w:left w:val="nil"/>
              <w:bottom w:val="nil"/>
              <w:right w:val="nil"/>
            </w:tcBorders>
            <w:shd w:val="clear" w:color="auto" w:fill="auto"/>
            <w:noWrap/>
            <w:vAlign w:val="bottom"/>
            <w:hideMark/>
          </w:tcPr>
          <w:p w14:paraId="24436DFF" w14:textId="77777777" w:rsidR="00BA4E22" w:rsidRPr="00BA4E22" w:rsidRDefault="00BA4E22" w:rsidP="00BA4E22">
            <w:pPr>
              <w:rPr>
                <w:rFonts w:ascii="Calibri" w:eastAsia="Times New Roman" w:hAnsi="Calibri" w:cs="Times New Roman"/>
                <w:color w:val="000000"/>
                <w:sz w:val="22"/>
              </w:rPr>
            </w:pPr>
          </w:p>
        </w:tc>
        <w:tc>
          <w:tcPr>
            <w:tcW w:w="1300" w:type="dxa"/>
            <w:tcBorders>
              <w:top w:val="single" w:sz="4" w:space="0" w:color="auto"/>
              <w:left w:val="nil"/>
              <w:bottom w:val="single" w:sz="8" w:space="0" w:color="auto"/>
              <w:right w:val="nil"/>
            </w:tcBorders>
            <w:shd w:val="clear" w:color="auto" w:fill="auto"/>
            <w:noWrap/>
            <w:vAlign w:val="bottom"/>
            <w:hideMark/>
          </w:tcPr>
          <w:p w14:paraId="49DFA79A" w14:textId="77777777" w:rsidR="00BA4E22" w:rsidRPr="00BA4E22" w:rsidRDefault="00BA4E22" w:rsidP="00BA4E22">
            <w:pPr>
              <w:rPr>
                <w:rFonts w:ascii="Calibri" w:eastAsia="Times New Roman" w:hAnsi="Calibri" w:cs="Times New Roman"/>
                <w:b/>
                <w:color w:val="000000"/>
                <w:szCs w:val="20"/>
              </w:rPr>
            </w:pPr>
            <w:r w:rsidRPr="00BA4E22">
              <w:rPr>
                <w:rFonts w:ascii="Calibri" w:eastAsia="Times New Roman" w:hAnsi="Calibri" w:cs="Times New Roman"/>
                <w:b/>
                <w:color w:val="000000"/>
                <w:szCs w:val="20"/>
              </w:rPr>
              <w:t>Total</w:t>
            </w:r>
          </w:p>
        </w:tc>
        <w:tc>
          <w:tcPr>
            <w:tcW w:w="1300" w:type="dxa"/>
            <w:tcBorders>
              <w:top w:val="single" w:sz="4" w:space="0" w:color="auto"/>
              <w:left w:val="nil"/>
              <w:bottom w:val="single" w:sz="8" w:space="0" w:color="auto"/>
              <w:right w:val="nil"/>
            </w:tcBorders>
            <w:shd w:val="clear" w:color="auto" w:fill="auto"/>
            <w:noWrap/>
            <w:vAlign w:val="bottom"/>
            <w:hideMark/>
          </w:tcPr>
          <w:p w14:paraId="242DA23A" w14:textId="4308F77D" w:rsidR="00BA4E22" w:rsidRPr="00BA4E22" w:rsidRDefault="00BA4E22" w:rsidP="00BA4E22">
            <w:pPr>
              <w:jc w:val="right"/>
              <w:rPr>
                <w:rFonts w:ascii="Calibri" w:eastAsia="Times New Roman" w:hAnsi="Calibri" w:cs="Times New Roman"/>
                <w:b/>
                <w:color w:val="000000"/>
                <w:szCs w:val="20"/>
              </w:rPr>
            </w:pPr>
            <w:r>
              <w:rPr>
                <w:rFonts w:ascii="Calibri" w:eastAsia="Times New Roman" w:hAnsi="Calibri" w:cs="Times New Roman"/>
                <w:b/>
                <w:color w:val="000000"/>
                <w:szCs w:val="20"/>
              </w:rPr>
              <w:t>11495</w:t>
            </w:r>
          </w:p>
        </w:tc>
        <w:tc>
          <w:tcPr>
            <w:tcW w:w="1300" w:type="dxa"/>
            <w:tcBorders>
              <w:top w:val="single" w:sz="4" w:space="0" w:color="auto"/>
              <w:left w:val="nil"/>
              <w:bottom w:val="single" w:sz="8" w:space="0" w:color="auto"/>
              <w:right w:val="nil"/>
            </w:tcBorders>
            <w:shd w:val="clear" w:color="auto" w:fill="auto"/>
            <w:noWrap/>
            <w:vAlign w:val="bottom"/>
            <w:hideMark/>
          </w:tcPr>
          <w:p w14:paraId="05B55866" w14:textId="77777777" w:rsidR="00BA4E22" w:rsidRPr="00BA4E22" w:rsidRDefault="00BA4E22" w:rsidP="00BA4E22">
            <w:pPr>
              <w:jc w:val="right"/>
              <w:rPr>
                <w:rFonts w:ascii="Calibri" w:eastAsia="Times New Roman" w:hAnsi="Calibri" w:cs="Times New Roman"/>
                <w:b/>
                <w:color w:val="000000"/>
                <w:szCs w:val="20"/>
              </w:rPr>
            </w:pPr>
            <w:r w:rsidRPr="00BA4E22">
              <w:rPr>
                <w:rFonts w:ascii="Calibri" w:eastAsia="Times New Roman" w:hAnsi="Calibri" w:cs="Times New Roman"/>
                <w:b/>
                <w:color w:val="000000"/>
                <w:szCs w:val="20"/>
              </w:rPr>
              <w:t>10562</w:t>
            </w:r>
          </w:p>
        </w:tc>
      </w:tr>
    </w:tbl>
    <w:p w14:paraId="3E97E859" w14:textId="022BFCE3" w:rsidR="00080A8E" w:rsidRDefault="00080A8E" w:rsidP="00D6130E">
      <w:pPr>
        <w:rPr>
          <w:rFonts w:asciiTheme="majorHAnsi" w:hAnsiTheme="majorHAnsi"/>
        </w:rPr>
      </w:pPr>
    </w:p>
    <w:p w14:paraId="5E48C09E" w14:textId="77777777" w:rsidR="00CE534C" w:rsidRPr="00D6130E" w:rsidRDefault="00CE534C" w:rsidP="00D6130E">
      <w:pPr>
        <w:rPr>
          <w:rFonts w:asciiTheme="majorHAnsi" w:hAnsiTheme="majorHAnsi"/>
        </w:rPr>
      </w:pPr>
    </w:p>
    <w:p w14:paraId="15050F3C" w14:textId="77777777" w:rsidR="00317C22" w:rsidRDefault="00317C22" w:rsidP="00317C22">
      <w:pPr>
        <w:pStyle w:val="Heading1"/>
      </w:pPr>
      <w:r>
        <w:lastRenderedPageBreak/>
        <w:t>Figures</w:t>
      </w:r>
    </w:p>
    <w:p w14:paraId="6E036CC8" w14:textId="677B20C2" w:rsidR="00317C22" w:rsidRPr="00317C22" w:rsidRDefault="00317C22" w:rsidP="00317C22">
      <w:pPr>
        <w:pStyle w:val="Caption"/>
        <w:keepNext/>
        <w:rPr>
          <w:rFonts w:asciiTheme="majorHAnsi" w:hAnsiTheme="majorHAnsi"/>
          <w:color w:val="000000" w:themeColor="text1"/>
          <w:sz w:val="22"/>
        </w:rPr>
      </w:pPr>
      <w:bookmarkStart w:id="4" w:name="_Ref357098221"/>
      <w:r w:rsidRPr="00317C22">
        <w:rPr>
          <w:rFonts w:asciiTheme="majorHAnsi" w:hAnsiTheme="majorHAnsi"/>
          <w:color w:val="000000" w:themeColor="text1"/>
          <w:sz w:val="22"/>
        </w:rPr>
        <w:t xml:space="preserve">Figure </w:t>
      </w:r>
      <w:r w:rsidRPr="00317C22">
        <w:rPr>
          <w:rFonts w:asciiTheme="majorHAnsi" w:hAnsiTheme="majorHAnsi"/>
          <w:color w:val="000000" w:themeColor="text1"/>
          <w:sz w:val="22"/>
        </w:rPr>
        <w:fldChar w:fldCharType="begin"/>
      </w:r>
      <w:r w:rsidRPr="00317C22">
        <w:rPr>
          <w:rFonts w:asciiTheme="majorHAnsi" w:hAnsiTheme="majorHAnsi"/>
          <w:color w:val="000000" w:themeColor="text1"/>
          <w:sz w:val="22"/>
        </w:rPr>
        <w:instrText xml:space="preserve"> SEQ Figure \* ARABIC </w:instrText>
      </w:r>
      <w:r w:rsidRPr="00317C22">
        <w:rPr>
          <w:rFonts w:asciiTheme="majorHAnsi" w:hAnsiTheme="majorHAnsi"/>
          <w:color w:val="000000" w:themeColor="text1"/>
          <w:sz w:val="22"/>
        </w:rPr>
        <w:fldChar w:fldCharType="separate"/>
      </w:r>
      <w:r w:rsidRPr="00317C22">
        <w:rPr>
          <w:rFonts w:asciiTheme="majorHAnsi" w:hAnsiTheme="majorHAnsi"/>
          <w:noProof/>
          <w:color w:val="000000" w:themeColor="text1"/>
          <w:sz w:val="22"/>
        </w:rPr>
        <w:t>1</w:t>
      </w:r>
      <w:r w:rsidRPr="00317C22">
        <w:rPr>
          <w:rFonts w:asciiTheme="majorHAnsi" w:hAnsiTheme="majorHAnsi"/>
          <w:color w:val="000000" w:themeColor="text1"/>
          <w:sz w:val="22"/>
        </w:rPr>
        <w:fldChar w:fldCharType="end"/>
      </w:r>
      <w:bookmarkEnd w:id="4"/>
      <w:r w:rsidRPr="00317C22">
        <w:rPr>
          <w:rFonts w:asciiTheme="majorHAnsi" w:hAnsiTheme="majorHAnsi"/>
          <w:color w:val="000000" w:themeColor="text1"/>
          <w:sz w:val="22"/>
        </w:rPr>
        <w:t xml:space="preserve"> </w:t>
      </w:r>
      <w:r w:rsidRPr="00317C22">
        <w:rPr>
          <w:rFonts w:asciiTheme="majorHAnsi" w:hAnsiTheme="majorHAnsi"/>
          <w:i/>
          <w:color w:val="000000" w:themeColor="text1"/>
          <w:sz w:val="22"/>
        </w:rPr>
        <w:t>Distribution of non-HDL-C (top) and Total-C (bottom) by gender and age.</w:t>
      </w:r>
    </w:p>
    <w:p w14:paraId="7E262DDC" w14:textId="0FFD9A35" w:rsidR="00317C22" w:rsidRDefault="00317C22" w:rsidP="00317C22">
      <w:pPr>
        <w:rPr>
          <w:rFonts w:asciiTheme="majorHAnsi" w:hAnsiTheme="majorHAnsi"/>
        </w:rPr>
      </w:pPr>
    </w:p>
    <w:p w14:paraId="19BA528D" w14:textId="46A2AFAF" w:rsidR="00317C22" w:rsidRDefault="00FE43B1" w:rsidP="00317C22">
      <w:pPr>
        <w:rPr>
          <w:rFonts w:asciiTheme="majorHAnsi" w:hAnsiTheme="majorHAnsi"/>
        </w:rPr>
      </w:pPr>
      <w:r>
        <w:rPr>
          <w:rFonts w:asciiTheme="majorHAnsi" w:hAnsiTheme="majorHAnsi"/>
          <w:noProof/>
          <w:lang w:val="en-US"/>
        </w:rPr>
        <w:drawing>
          <wp:inline distT="0" distB="0" distL="0" distR="0" wp14:anchorId="40A309AF" wp14:editId="20D6BF24">
            <wp:extent cx="5270500" cy="26765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676514"/>
                    </a:xfrm>
                    <a:prstGeom prst="rect">
                      <a:avLst/>
                    </a:prstGeom>
                    <a:noFill/>
                    <a:ln>
                      <a:noFill/>
                    </a:ln>
                  </pic:spPr>
                </pic:pic>
              </a:graphicData>
            </a:graphic>
          </wp:inline>
        </w:drawing>
      </w:r>
    </w:p>
    <w:p w14:paraId="1BFDA7FE" w14:textId="77777777" w:rsidR="00317C22" w:rsidRDefault="00317C22" w:rsidP="00317C22">
      <w:pPr>
        <w:rPr>
          <w:rFonts w:asciiTheme="majorHAnsi" w:hAnsiTheme="majorHAnsi"/>
        </w:rPr>
      </w:pPr>
    </w:p>
    <w:p w14:paraId="6D227AA9" w14:textId="3123E72D" w:rsidR="00317C22" w:rsidRDefault="00F9747A" w:rsidP="00317C22">
      <w:pPr>
        <w:rPr>
          <w:rFonts w:asciiTheme="majorHAnsi" w:hAnsiTheme="majorHAnsi"/>
        </w:rPr>
      </w:pPr>
      <w:r>
        <w:rPr>
          <w:rFonts w:asciiTheme="majorHAnsi" w:hAnsiTheme="majorHAnsi"/>
          <w:noProof/>
          <w:lang w:val="en-US"/>
        </w:rPr>
        <w:drawing>
          <wp:inline distT="0" distB="0" distL="0" distR="0" wp14:anchorId="3CDF3E61" wp14:editId="730A71FC">
            <wp:extent cx="5270500" cy="2676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676514"/>
                    </a:xfrm>
                    <a:prstGeom prst="rect">
                      <a:avLst/>
                    </a:prstGeom>
                    <a:noFill/>
                    <a:ln>
                      <a:noFill/>
                    </a:ln>
                  </pic:spPr>
                </pic:pic>
              </a:graphicData>
            </a:graphic>
          </wp:inline>
        </w:drawing>
      </w:r>
    </w:p>
    <w:p w14:paraId="5EC898DC" w14:textId="77777777" w:rsidR="00317C22" w:rsidRDefault="00317C22" w:rsidP="00317C22">
      <w:pPr>
        <w:rPr>
          <w:rFonts w:asciiTheme="majorHAnsi" w:hAnsiTheme="majorHAnsi"/>
        </w:rPr>
      </w:pPr>
    </w:p>
    <w:p w14:paraId="7B733F00" w14:textId="77777777" w:rsidR="00D6130E" w:rsidRDefault="00D6130E"/>
    <w:p w14:paraId="5EDD41F7" w14:textId="4639294E" w:rsidR="00EF0F3D" w:rsidRDefault="00EF0F3D">
      <w:r>
        <w:t>Tables for total C and non-</w:t>
      </w:r>
      <w:proofErr w:type="spellStart"/>
      <w:r>
        <w:t>hdl</w:t>
      </w:r>
      <w:proofErr w:type="spellEnd"/>
      <w:r>
        <w:t>-C like the</w:t>
      </w:r>
      <w:r w:rsidR="0000566B">
        <w:t xml:space="preserve"> </w:t>
      </w:r>
      <w:bookmarkStart w:id="5" w:name="_GoBack"/>
      <w:bookmarkEnd w:id="5"/>
      <w:r w:rsidR="0000566B">
        <w:t xml:space="preserve">Starr </w:t>
      </w:r>
      <w:r>
        <w:t xml:space="preserve">paper.  </w:t>
      </w:r>
    </w:p>
    <w:p w14:paraId="62F7C8BD" w14:textId="77777777" w:rsidR="00EF0F3D" w:rsidRDefault="00EF0F3D"/>
    <w:sectPr w:rsidR="00EF0F3D" w:rsidSect="00F13FD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y Allen" w:date="2017-05-17T16:07:00Z" w:initials="JA">
    <w:p w14:paraId="0F44DDD0" w14:textId="77777777" w:rsidR="00FF7F02" w:rsidRDefault="00FF7F02">
      <w:pPr>
        <w:pStyle w:val="CommentText"/>
      </w:pPr>
      <w:r>
        <w:rPr>
          <w:rStyle w:val="CommentReference"/>
        </w:rPr>
        <w:annotationRef/>
      </w:r>
      <w:proofErr w:type="gramStart"/>
      <w:r>
        <w:t>is</w:t>
      </w:r>
      <w:proofErr w:type="gramEnd"/>
      <w:r>
        <w:t xml:space="preserve"> this right for every year?</w:t>
      </w:r>
    </w:p>
  </w:comment>
  <w:comment w:id="1" w:author="Joy Allen" w:date="2017-05-22T16:30:00Z" w:initials="JA">
    <w:p w14:paraId="5FFE1CF2" w14:textId="5F46FD40" w:rsidR="00FF7F02" w:rsidRDefault="00FF7F02">
      <w:pPr>
        <w:pStyle w:val="CommentText"/>
      </w:pPr>
      <w:r>
        <w:rPr>
          <w:rStyle w:val="CommentReference"/>
        </w:rPr>
        <w:annotationRef/>
      </w:r>
      <w:proofErr w:type="gramStart"/>
      <w:r>
        <w:t>should</w:t>
      </w:r>
      <w:proofErr w:type="gramEnd"/>
      <w:r>
        <w:t xml:space="preserve"> we have excluded all those who we didn't know about?</w:t>
      </w:r>
    </w:p>
    <w:p w14:paraId="79BA570F" w14:textId="22B6A399" w:rsidR="00FF7F02" w:rsidRDefault="00FF7F02">
      <w:pPr>
        <w:pStyle w:val="CommentText"/>
      </w:pPr>
    </w:p>
    <w:p w14:paraId="53AEE0AC" w14:textId="77777777" w:rsidR="00FF7F02" w:rsidRDefault="00FF7F02">
      <w:pPr>
        <w:pStyle w:val="CommentText"/>
      </w:pPr>
      <w:r>
        <w:t xml:space="preserve">If so, we can only use those which 'not taking drug ' which reduces sample size to 19503.  ASK DERMOT.  </w:t>
      </w:r>
    </w:p>
  </w:comment>
  <w:comment w:id="2" w:author="Joy Allen" w:date="2017-05-17T16:08:00Z" w:initials="JA">
    <w:p w14:paraId="32A96C72" w14:textId="77777777" w:rsidR="00FF7F02" w:rsidRDefault="00FF7F02">
      <w:pPr>
        <w:pStyle w:val="CommentText"/>
      </w:pPr>
      <w:r>
        <w:rPr>
          <w:rStyle w:val="CommentReference"/>
        </w:rPr>
        <w:annotationRef/>
      </w:r>
      <w:proofErr w:type="gramStart"/>
      <w:r>
        <w:t>get</w:t>
      </w:r>
      <w:proofErr w:type="gramEnd"/>
      <w:r>
        <w:t xml:space="preserve"> this detaill out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4DDD0" w15:done="0"/>
  <w15:commentEx w15:paraId="53AEE0AC" w15:done="0"/>
  <w15:commentEx w15:paraId="32A96C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l?r ??fc"/>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y Allen">
    <w15:presenceInfo w15:providerId="AD" w15:userId="S-1-5-21-1417001333-839522115-1801674531-24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30E"/>
    <w:rsid w:val="0000566B"/>
    <w:rsid w:val="00080A8E"/>
    <w:rsid w:val="00182095"/>
    <w:rsid w:val="00223119"/>
    <w:rsid w:val="00317C22"/>
    <w:rsid w:val="0040032F"/>
    <w:rsid w:val="005913F2"/>
    <w:rsid w:val="005A6F86"/>
    <w:rsid w:val="007A719C"/>
    <w:rsid w:val="009509AB"/>
    <w:rsid w:val="00951EBE"/>
    <w:rsid w:val="009B7830"/>
    <w:rsid w:val="00AE61A7"/>
    <w:rsid w:val="00B05BBF"/>
    <w:rsid w:val="00B10217"/>
    <w:rsid w:val="00BA4E22"/>
    <w:rsid w:val="00BC68FD"/>
    <w:rsid w:val="00C3626C"/>
    <w:rsid w:val="00CC5E06"/>
    <w:rsid w:val="00CE534C"/>
    <w:rsid w:val="00D44999"/>
    <w:rsid w:val="00D573D1"/>
    <w:rsid w:val="00D6130E"/>
    <w:rsid w:val="00DC1493"/>
    <w:rsid w:val="00DF71D1"/>
    <w:rsid w:val="00E14D00"/>
    <w:rsid w:val="00E47C43"/>
    <w:rsid w:val="00EF0F3D"/>
    <w:rsid w:val="00F105FE"/>
    <w:rsid w:val="00F13FD4"/>
    <w:rsid w:val="00F9747A"/>
    <w:rsid w:val="00FE43B1"/>
    <w:rsid w:val="00FF7F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328240"/>
  <w14:defaultImageDpi w14:val="300"/>
  <w15:docId w15:val="{0A819600-5FAF-4485-9AC0-A80632DC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05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105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130E"/>
    <w:rPr>
      <w:sz w:val="16"/>
      <w:szCs w:val="16"/>
    </w:rPr>
  </w:style>
  <w:style w:type="paragraph" w:styleId="CommentText">
    <w:name w:val="annotation text"/>
    <w:basedOn w:val="Normal"/>
    <w:link w:val="CommentTextChar"/>
    <w:uiPriority w:val="99"/>
    <w:unhideWhenUsed/>
    <w:rsid w:val="00D6130E"/>
    <w:pPr>
      <w:spacing w:after="160"/>
    </w:pPr>
    <w:rPr>
      <w:rFonts w:eastAsiaTheme="minorHAnsi"/>
      <w:sz w:val="20"/>
      <w:szCs w:val="20"/>
      <w:lang w:val="en-US"/>
    </w:rPr>
  </w:style>
  <w:style w:type="character" w:customStyle="1" w:styleId="CommentTextChar">
    <w:name w:val="Comment Text Char"/>
    <w:basedOn w:val="DefaultParagraphFont"/>
    <w:link w:val="CommentText"/>
    <w:uiPriority w:val="99"/>
    <w:rsid w:val="00D6130E"/>
    <w:rPr>
      <w:rFonts w:eastAsiaTheme="minorHAnsi"/>
      <w:sz w:val="20"/>
      <w:szCs w:val="20"/>
      <w:lang w:val="en-US"/>
    </w:rPr>
  </w:style>
  <w:style w:type="paragraph" w:styleId="Revision">
    <w:name w:val="Revision"/>
    <w:hidden/>
    <w:uiPriority w:val="99"/>
    <w:semiHidden/>
    <w:rsid w:val="00D6130E"/>
  </w:style>
  <w:style w:type="paragraph" w:styleId="BalloonText">
    <w:name w:val="Balloon Text"/>
    <w:basedOn w:val="Normal"/>
    <w:link w:val="BalloonTextChar"/>
    <w:uiPriority w:val="99"/>
    <w:semiHidden/>
    <w:unhideWhenUsed/>
    <w:rsid w:val="00D613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130E"/>
    <w:rPr>
      <w:rFonts w:ascii="Lucida Grande" w:hAnsi="Lucida Grande" w:cs="Lucida Grande"/>
      <w:sz w:val="18"/>
      <w:szCs w:val="18"/>
    </w:rPr>
  </w:style>
  <w:style w:type="paragraph" w:styleId="NoSpacing">
    <w:name w:val="No Spacing"/>
    <w:uiPriority w:val="1"/>
    <w:qFormat/>
    <w:rsid w:val="009B7830"/>
  </w:style>
  <w:style w:type="paragraph" w:styleId="CommentSubject">
    <w:name w:val="annotation subject"/>
    <w:basedOn w:val="CommentText"/>
    <w:next w:val="CommentText"/>
    <w:link w:val="CommentSubjectChar"/>
    <w:uiPriority w:val="99"/>
    <w:semiHidden/>
    <w:unhideWhenUsed/>
    <w:rsid w:val="00E47C43"/>
    <w:pPr>
      <w:spacing w:after="0"/>
    </w:pPr>
    <w:rPr>
      <w:rFonts w:eastAsiaTheme="minorEastAsia"/>
      <w:b/>
      <w:bCs/>
      <w:lang w:val="en-GB"/>
    </w:rPr>
  </w:style>
  <w:style w:type="character" w:customStyle="1" w:styleId="CommentSubjectChar">
    <w:name w:val="Comment Subject Char"/>
    <w:basedOn w:val="CommentTextChar"/>
    <w:link w:val="CommentSubject"/>
    <w:uiPriority w:val="99"/>
    <w:semiHidden/>
    <w:rsid w:val="00E47C43"/>
    <w:rPr>
      <w:rFonts w:eastAsiaTheme="minorHAnsi"/>
      <w:b/>
      <w:bCs/>
      <w:sz w:val="20"/>
      <w:szCs w:val="20"/>
      <w:lang w:val="en-US"/>
    </w:rPr>
  </w:style>
  <w:style w:type="paragraph" w:styleId="Caption">
    <w:name w:val="caption"/>
    <w:basedOn w:val="Normal"/>
    <w:next w:val="Normal"/>
    <w:uiPriority w:val="35"/>
    <w:unhideWhenUsed/>
    <w:qFormat/>
    <w:rsid w:val="00BC68FD"/>
    <w:pPr>
      <w:spacing w:after="200"/>
    </w:pPr>
    <w:rPr>
      <w:b/>
      <w:bCs/>
      <w:color w:val="4F81BD" w:themeColor="accent1"/>
      <w:sz w:val="18"/>
      <w:szCs w:val="18"/>
    </w:rPr>
  </w:style>
  <w:style w:type="paragraph" w:styleId="Title">
    <w:name w:val="Title"/>
    <w:basedOn w:val="Normal"/>
    <w:next w:val="Normal"/>
    <w:link w:val="TitleChar"/>
    <w:uiPriority w:val="10"/>
    <w:qFormat/>
    <w:rsid w:val="00F105F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5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05F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105F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17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967796">
      <w:bodyDiv w:val="1"/>
      <w:marLeft w:val="0"/>
      <w:marRight w:val="0"/>
      <w:marTop w:val="0"/>
      <w:marBottom w:val="0"/>
      <w:divBdr>
        <w:top w:val="none" w:sz="0" w:space="0" w:color="auto"/>
        <w:left w:val="none" w:sz="0" w:space="0" w:color="auto"/>
        <w:bottom w:val="none" w:sz="0" w:space="0" w:color="auto"/>
        <w:right w:val="none" w:sz="0" w:space="0" w:color="auto"/>
      </w:divBdr>
    </w:div>
    <w:div w:id="709190821">
      <w:bodyDiv w:val="1"/>
      <w:marLeft w:val="0"/>
      <w:marRight w:val="0"/>
      <w:marTop w:val="0"/>
      <w:marBottom w:val="0"/>
      <w:divBdr>
        <w:top w:val="none" w:sz="0" w:space="0" w:color="auto"/>
        <w:left w:val="none" w:sz="0" w:space="0" w:color="auto"/>
        <w:bottom w:val="none" w:sz="0" w:space="0" w:color="auto"/>
        <w:right w:val="none" w:sz="0" w:space="0" w:color="auto"/>
      </w:divBdr>
    </w:div>
    <w:div w:id="923956585">
      <w:bodyDiv w:val="1"/>
      <w:marLeft w:val="0"/>
      <w:marRight w:val="0"/>
      <w:marTop w:val="0"/>
      <w:marBottom w:val="0"/>
      <w:divBdr>
        <w:top w:val="none" w:sz="0" w:space="0" w:color="auto"/>
        <w:left w:val="none" w:sz="0" w:space="0" w:color="auto"/>
        <w:bottom w:val="none" w:sz="0" w:space="0" w:color="auto"/>
        <w:right w:val="none" w:sz="0" w:space="0" w:color="auto"/>
      </w:divBdr>
    </w:div>
    <w:div w:id="1414622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974</TotalTime>
  <Pages>5</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Allen</dc:creator>
  <cp:keywords/>
  <dc:description/>
  <cp:lastModifiedBy>Joy Allen</cp:lastModifiedBy>
  <cp:revision>6</cp:revision>
  <dcterms:created xsi:type="dcterms:W3CDTF">2017-05-18T08:47:00Z</dcterms:created>
  <dcterms:modified xsi:type="dcterms:W3CDTF">2017-05-26T08:10:00Z</dcterms:modified>
</cp:coreProperties>
</file>