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83F3A" w14:textId="77777777" w:rsidR="00F13FD4" w:rsidRPr="00D6130E" w:rsidRDefault="00D6130E">
      <w:pPr>
        <w:rPr>
          <w:rFonts w:asciiTheme="majorHAnsi" w:hAnsiTheme="majorHAnsi"/>
        </w:rPr>
      </w:pPr>
      <w:r w:rsidRPr="00D6130E">
        <w:rPr>
          <w:rFonts w:asciiTheme="majorHAnsi" w:hAnsiTheme="majorHAnsi"/>
        </w:rPr>
        <w:t>Abstract for Director’s Day</w:t>
      </w:r>
    </w:p>
    <w:p w14:paraId="556E497E" w14:textId="77777777" w:rsidR="00D6130E" w:rsidRPr="00D6130E" w:rsidRDefault="00D6130E">
      <w:pPr>
        <w:rPr>
          <w:rFonts w:asciiTheme="majorHAnsi" w:hAnsiTheme="majorHAnsi"/>
        </w:rPr>
      </w:pPr>
    </w:p>
    <w:p w14:paraId="0306542C" w14:textId="77777777" w:rsidR="00D6130E" w:rsidRPr="00D6130E" w:rsidRDefault="00D6130E" w:rsidP="00D6130E">
      <w:pPr>
        <w:rPr>
          <w:rFonts w:asciiTheme="majorHAnsi" w:hAnsiTheme="majorHAnsi"/>
          <w:b/>
        </w:rPr>
      </w:pPr>
      <w:r w:rsidRPr="00D6130E">
        <w:rPr>
          <w:rFonts w:asciiTheme="majorHAnsi" w:hAnsiTheme="majorHAnsi"/>
          <w:b/>
        </w:rPr>
        <w:t xml:space="preserve">Calculation of age and gender related non-HDL-C percentiles from Health Survey for England data – Implications for diagnosis of Familial </w:t>
      </w:r>
      <w:proofErr w:type="spellStart"/>
      <w:r w:rsidRPr="00D6130E">
        <w:rPr>
          <w:rFonts w:asciiTheme="majorHAnsi" w:hAnsiTheme="majorHAnsi"/>
          <w:b/>
        </w:rPr>
        <w:t>Hypercholesterolaemia</w:t>
      </w:r>
      <w:proofErr w:type="spellEnd"/>
      <w:r w:rsidRPr="00D6130E">
        <w:rPr>
          <w:rFonts w:asciiTheme="majorHAnsi" w:hAnsiTheme="majorHAnsi"/>
          <w:b/>
        </w:rPr>
        <w:t xml:space="preserve"> (FH)</w:t>
      </w:r>
    </w:p>
    <w:p w14:paraId="24D7D6F4" w14:textId="77777777" w:rsidR="00D6130E" w:rsidRPr="00D6130E" w:rsidRDefault="00D6130E">
      <w:pPr>
        <w:rPr>
          <w:rFonts w:asciiTheme="majorHAnsi" w:hAnsiTheme="majorHAnsi"/>
        </w:rPr>
      </w:pPr>
    </w:p>
    <w:p w14:paraId="075E269D" w14:textId="23D15079" w:rsidR="00D6130E" w:rsidRPr="00D6130E" w:rsidRDefault="00D6130E" w:rsidP="00D6130E">
      <w:pPr>
        <w:rPr>
          <w:rFonts w:asciiTheme="majorHAnsi" w:hAnsiTheme="majorHAnsi"/>
        </w:rPr>
      </w:pPr>
      <w:r w:rsidRPr="00D6130E">
        <w:rPr>
          <w:rFonts w:asciiTheme="majorHAnsi" w:hAnsiTheme="majorHAnsi"/>
        </w:rPr>
        <w:t>Joy Allen</w:t>
      </w:r>
      <w:r w:rsidRPr="00D6130E">
        <w:rPr>
          <w:rFonts w:asciiTheme="majorHAnsi" w:hAnsiTheme="majorHAnsi"/>
          <w:vertAlign w:val="superscript"/>
        </w:rPr>
        <w:t>1</w:t>
      </w:r>
      <w:r w:rsidRPr="00D6130E">
        <w:rPr>
          <w:rFonts w:asciiTheme="majorHAnsi" w:hAnsiTheme="majorHAnsi"/>
        </w:rPr>
        <w:t xml:space="preserve">, </w:t>
      </w:r>
      <w:r w:rsidR="00A56DC5" w:rsidRPr="00D6130E">
        <w:rPr>
          <w:rFonts w:asciiTheme="majorHAnsi" w:hAnsiTheme="majorHAnsi"/>
        </w:rPr>
        <w:t>Dermot Neely</w:t>
      </w:r>
      <w:r w:rsidR="00A56DC5" w:rsidRPr="00D6130E">
        <w:rPr>
          <w:rFonts w:asciiTheme="majorHAnsi" w:hAnsiTheme="majorHAnsi"/>
          <w:vertAlign w:val="superscript"/>
        </w:rPr>
        <w:t>1</w:t>
      </w:r>
      <w:proofErr w:type="gramStart"/>
      <w:r w:rsidR="00A56DC5" w:rsidRPr="00D6130E">
        <w:rPr>
          <w:rFonts w:asciiTheme="majorHAnsi" w:hAnsiTheme="majorHAnsi"/>
          <w:vertAlign w:val="superscript"/>
        </w:rPr>
        <w:t>,2</w:t>
      </w:r>
      <w:proofErr w:type="gramEnd"/>
      <w:r w:rsidR="00A56DC5">
        <w:rPr>
          <w:rFonts w:asciiTheme="majorHAnsi" w:hAnsiTheme="majorHAnsi"/>
          <w:vertAlign w:val="superscript"/>
        </w:rPr>
        <w:t xml:space="preserve"> </w:t>
      </w:r>
      <w:r w:rsidR="00A56DC5">
        <w:rPr>
          <w:rFonts w:asciiTheme="majorHAnsi" w:hAnsiTheme="majorHAnsi"/>
        </w:rPr>
        <w:t>, M</w:t>
      </w:r>
      <w:r w:rsidRPr="00D6130E">
        <w:rPr>
          <w:rFonts w:asciiTheme="majorHAnsi" w:hAnsiTheme="majorHAnsi"/>
        </w:rPr>
        <w:t>ichael Power</w:t>
      </w:r>
      <w:r w:rsidRPr="00D6130E">
        <w:rPr>
          <w:rFonts w:asciiTheme="majorHAnsi" w:hAnsiTheme="majorHAnsi"/>
          <w:vertAlign w:val="superscript"/>
        </w:rPr>
        <w:t>1</w:t>
      </w:r>
      <w:r w:rsidRPr="00D6130E">
        <w:rPr>
          <w:rFonts w:asciiTheme="majorHAnsi" w:hAnsiTheme="majorHAnsi"/>
        </w:rPr>
        <w:t>,</w:t>
      </w:r>
      <w:r w:rsidR="00295A4E">
        <w:rPr>
          <w:rFonts w:asciiTheme="majorHAnsi" w:hAnsiTheme="majorHAnsi"/>
        </w:rPr>
        <w:t xml:space="preserve"> </w:t>
      </w:r>
      <w:r w:rsidRPr="00D6130E">
        <w:rPr>
          <w:rFonts w:asciiTheme="majorHAnsi" w:hAnsiTheme="majorHAnsi"/>
        </w:rPr>
        <w:t>Julie Day</w:t>
      </w:r>
      <w:r w:rsidRPr="00D6130E">
        <w:rPr>
          <w:rFonts w:asciiTheme="majorHAnsi" w:hAnsiTheme="majorHAnsi"/>
          <w:vertAlign w:val="superscript"/>
        </w:rPr>
        <w:t>2</w:t>
      </w:r>
      <w:r w:rsidRPr="00D6130E">
        <w:rPr>
          <w:rFonts w:asciiTheme="majorHAnsi" w:hAnsiTheme="majorHAnsi"/>
        </w:rPr>
        <w:t>, Jennifer S Mindell</w:t>
      </w:r>
      <w:r w:rsidRPr="00D6130E">
        <w:rPr>
          <w:rFonts w:asciiTheme="majorHAnsi" w:hAnsiTheme="majorHAnsi"/>
          <w:vertAlign w:val="superscript"/>
        </w:rPr>
        <w:t>3</w:t>
      </w:r>
      <w:r w:rsidRPr="00D6130E">
        <w:rPr>
          <w:rFonts w:asciiTheme="majorHAnsi" w:hAnsiTheme="majorHAnsi"/>
        </w:rPr>
        <w:t>, Shaun Scholes</w:t>
      </w:r>
      <w:r w:rsidRPr="00D6130E">
        <w:rPr>
          <w:rFonts w:asciiTheme="majorHAnsi" w:hAnsiTheme="majorHAnsi"/>
          <w:vertAlign w:val="superscript"/>
        </w:rPr>
        <w:t>3</w:t>
      </w:r>
      <w:r w:rsidRPr="00D6130E">
        <w:rPr>
          <w:rFonts w:asciiTheme="majorHAnsi" w:hAnsiTheme="majorHAnsi"/>
        </w:rPr>
        <w:t xml:space="preserve">, </w:t>
      </w:r>
      <w:r w:rsidR="00A56DC5">
        <w:rPr>
          <w:rFonts w:asciiTheme="majorHAnsi" w:hAnsiTheme="majorHAnsi"/>
        </w:rPr>
        <w:t>John Simpson</w:t>
      </w:r>
      <w:r w:rsidR="00A56DC5">
        <w:rPr>
          <w:rFonts w:asciiTheme="majorHAnsi" w:hAnsiTheme="majorHAnsi"/>
          <w:vertAlign w:val="superscript"/>
        </w:rPr>
        <w:t xml:space="preserve">1 </w:t>
      </w:r>
    </w:p>
    <w:p w14:paraId="41FC0297" w14:textId="77777777" w:rsidR="00D6130E" w:rsidRDefault="00D6130E" w:rsidP="00D6130E">
      <w:pPr>
        <w:rPr>
          <w:rFonts w:asciiTheme="majorHAnsi" w:hAnsiTheme="majorHAnsi"/>
        </w:rPr>
      </w:pPr>
      <w:r w:rsidRPr="00D6130E">
        <w:rPr>
          <w:rFonts w:asciiTheme="majorHAnsi" w:hAnsiTheme="majorHAnsi"/>
          <w:vertAlign w:val="superscript"/>
        </w:rPr>
        <w:t>1</w:t>
      </w:r>
      <w:r w:rsidRPr="00D6130E">
        <w:rPr>
          <w:rFonts w:asciiTheme="majorHAnsi" w:hAnsiTheme="majorHAnsi"/>
        </w:rPr>
        <w:t xml:space="preserve"> NIHR Diagnostic Evidence Co-operative Newcastle, </w:t>
      </w:r>
      <w:r w:rsidRPr="00D6130E">
        <w:rPr>
          <w:rFonts w:asciiTheme="majorHAnsi" w:hAnsiTheme="majorHAnsi"/>
          <w:vertAlign w:val="superscript"/>
        </w:rPr>
        <w:t>2</w:t>
      </w:r>
      <w:r w:rsidRPr="00D6130E">
        <w:rPr>
          <w:rFonts w:asciiTheme="majorHAnsi" w:hAnsiTheme="majorHAnsi"/>
        </w:rPr>
        <w:t xml:space="preserve"> Department of Clinical Biochemistry, Newcastle upon Tyne Hospitals NHS Foundation Trust, </w:t>
      </w:r>
      <w:r w:rsidRPr="00D6130E">
        <w:rPr>
          <w:rFonts w:asciiTheme="majorHAnsi" w:hAnsiTheme="majorHAnsi"/>
          <w:vertAlign w:val="superscript"/>
        </w:rPr>
        <w:t>3</w:t>
      </w:r>
      <w:r w:rsidRPr="00D6130E">
        <w:rPr>
          <w:rFonts w:asciiTheme="majorHAnsi" w:hAnsiTheme="majorHAnsi"/>
        </w:rPr>
        <w:t>Health and Social Surveys Research Group, Research Department of Epidemiology &amp; Public Health, UCL</w:t>
      </w:r>
    </w:p>
    <w:p w14:paraId="7BFC457A" w14:textId="77777777" w:rsidR="00D6130E" w:rsidRDefault="00D6130E" w:rsidP="00D6130E">
      <w:pPr>
        <w:rPr>
          <w:rFonts w:asciiTheme="majorHAnsi" w:hAnsiTheme="majorHAnsi"/>
        </w:rPr>
      </w:pPr>
    </w:p>
    <w:p w14:paraId="1802455F" w14:textId="77777777" w:rsidR="00D6130E" w:rsidRDefault="00D6130E" w:rsidP="00D6130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Background </w:t>
      </w:r>
    </w:p>
    <w:p w14:paraId="2A2BFE4B" w14:textId="77777777" w:rsidR="00D6130E" w:rsidRPr="009B7830" w:rsidRDefault="009B7830" w:rsidP="009B7830">
      <w:pPr>
        <w:pStyle w:val="NoSpacing"/>
        <w:rPr>
          <w:rFonts w:asciiTheme="majorHAnsi" w:hAnsiTheme="majorHAnsi" w:cs="Arial"/>
          <w:lang w:eastAsia="zh-CN"/>
        </w:rPr>
      </w:pPr>
      <w:r w:rsidRPr="009B7830">
        <w:rPr>
          <w:rFonts w:asciiTheme="majorHAnsi" w:hAnsiTheme="majorHAnsi"/>
          <w:lang w:eastAsia="zh-CN"/>
        </w:rPr>
        <w:t xml:space="preserve">Familial </w:t>
      </w:r>
      <w:proofErr w:type="spellStart"/>
      <w:r w:rsidRPr="009B7830">
        <w:rPr>
          <w:rFonts w:asciiTheme="majorHAnsi" w:hAnsiTheme="majorHAnsi"/>
          <w:lang w:eastAsia="zh-CN"/>
        </w:rPr>
        <w:t>Hypercholesterolaemia</w:t>
      </w:r>
      <w:proofErr w:type="spellEnd"/>
      <w:r w:rsidRPr="009B7830">
        <w:rPr>
          <w:rFonts w:asciiTheme="majorHAnsi" w:hAnsiTheme="majorHAnsi"/>
          <w:lang w:eastAsia="zh-CN"/>
        </w:rPr>
        <w:t xml:space="preserve"> (FH) is a genetic disorder characterised by high </w:t>
      </w:r>
      <w:r w:rsidRPr="009B7830">
        <w:rPr>
          <w:rFonts w:asciiTheme="majorHAnsi" w:hAnsiTheme="majorHAnsi" w:cs="Arial"/>
          <w:lang w:eastAsia="zh-CN"/>
        </w:rPr>
        <w:t xml:space="preserve">LDL-cholesterol </w:t>
      </w:r>
      <w:r w:rsidRPr="009B7830">
        <w:rPr>
          <w:rFonts w:asciiTheme="majorHAnsi" w:hAnsiTheme="majorHAnsi"/>
          <w:lang w:eastAsia="zh-CN"/>
        </w:rPr>
        <w:t xml:space="preserve">levels causing premature cardiovascular disease. </w:t>
      </w:r>
      <w:r>
        <w:rPr>
          <w:rFonts w:asciiTheme="majorHAnsi" w:hAnsiTheme="majorHAnsi" w:cs="Arial"/>
          <w:lang w:eastAsia="zh-CN"/>
        </w:rPr>
        <w:t>Phenotypic scoring systems such as the Dutch Lip</w:t>
      </w:r>
      <w:r w:rsidR="00E14D00">
        <w:rPr>
          <w:rFonts w:asciiTheme="majorHAnsi" w:hAnsiTheme="majorHAnsi" w:cs="Arial"/>
          <w:lang w:eastAsia="zh-CN"/>
        </w:rPr>
        <w:t>id Clinic Network Score (DLNCS) or</w:t>
      </w:r>
      <w:r>
        <w:rPr>
          <w:rFonts w:asciiTheme="majorHAnsi" w:hAnsiTheme="majorHAnsi" w:cs="Arial"/>
          <w:lang w:eastAsia="zh-CN"/>
        </w:rPr>
        <w:t xml:space="preserve"> the Simon Broome Crit</w:t>
      </w:r>
      <w:r w:rsidR="00E14D00">
        <w:rPr>
          <w:rFonts w:asciiTheme="majorHAnsi" w:hAnsiTheme="majorHAnsi" w:cs="Arial"/>
          <w:lang w:eastAsia="zh-CN"/>
        </w:rPr>
        <w:t>eria (SBC)</w:t>
      </w:r>
      <w:r>
        <w:rPr>
          <w:rFonts w:asciiTheme="majorHAnsi" w:hAnsiTheme="majorHAnsi" w:cs="Arial"/>
          <w:lang w:eastAsia="zh-CN"/>
        </w:rPr>
        <w:t xml:space="preserve"> are recommended for selection of patients with a hig</w:t>
      </w:r>
      <w:r w:rsidR="00E14D00">
        <w:rPr>
          <w:rFonts w:asciiTheme="majorHAnsi" w:hAnsiTheme="majorHAnsi" w:cs="Arial"/>
          <w:lang w:eastAsia="zh-CN"/>
        </w:rPr>
        <w:t>h likelihood of having monogenic</w:t>
      </w:r>
      <w:r>
        <w:rPr>
          <w:rFonts w:asciiTheme="majorHAnsi" w:hAnsiTheme="majorHAnsi" w:cs="Arial"/>
          <w:lang w:eastAsia="zh-CN"/>
        </w:rPr>
        <w:t xml:space="preserve"> FH.  </w:t>
      </w:r>
      <w:r w:rsidR="00D6130E" w:rsidRPr="00D6130E">
        <w:rPr>
          <w:rFonts w:asciiTheme="majorHAnsi" w:hAnsiTheme="majorHAnsi"/>
        </w:rPr>
        <w:t>Th</w:t>
      </w:r>
      <w:r w:rsidR="00E14D00">
        <w:rPr>
          <w:rFonts w:asciiTheme="majorHAnsi" w:hAnsiTheme="majorHAnsi"/>
        </w:rPr>
        <w:t>ese criteria all incorporate</w:t>
      </w:r>
      <w:r w:rsidR="00C3626C">
        <w:rPr>
          <w:rFonts w:asciiTheme="majorHAnsi" w:hAnsiTheme="majorHAnsi"/>
        </w:rPr>
        <w:t xml:space="preserve"> the index case’s</w:t>
      </w:r>
      <w:r w:rsidR="00E14D00">
        <w:rPr>
          <w:rFonts w:asciiTheme="majorHAnsi" w:hAnsiTheme="majorHAnsi"/>
        </w:rPr>
        <w:t xml:space="preserve"> personal and family history, </w:t>
      </w:r>
      <w:r w:rsidR="00223119">
        <w:rPr>
          <w:rFonts w:asciiTheme="majorHAnsi" w:hAnsiTheme="majorHAnsi"/>
        </w:rPr>
        <w:t>physical signs</w:t>
      </w:r>
      <w:r w:rsidR="00C3626C">
        <w:rPr>
          <w:rFonts w:asciiTheme="majorHAnsi" w:hAnsiTheme="majorHAnsi"/>
        </w:rPr>
        <w:t xml:space="preserve"> and</w:t>
      </w:r>
      <w:r w:rsidR="00D6130E" w:rsidRPr="00D6130E">
        <w:rPr>
          <w:rFonts w:asciiTheme="majorHAnsi" w:hAnsiTheme="majorHAnsi"/>
        </w:rPr>
        <w:t xml:space="preserve"> LDL-C concentration.  The specific LDL-C thresholds applied are independent of age and </w:t>
      </w:r>
      <w:r>
        <w:rPr>
          <w:rFonts w:asciiTheme="majorHAnsi" w:hAnsiTheme="majorHAnsi"/>
        </w:rPr>
        <w:t>gen</w:t>
      </w:r>
      <w:r w:rsidR="00E14D00">
        <w:rPr>
          <w:rFonts w:asciiTheme="majorHAnsi" w:hAnsiTheme="majorHAnsi"/>
        </w:rPr>
        <w:t>der however, FH diagnosis</w:t>
      </w:r>
      <w:r>
        <w:rPr>
          <w:rFonts w:asciiTheme="majorHAnsi" w:hAnsiTheme="majorHAnsi"/>
        </w:rPr>
        <w:t xml:space="preserve"> may be improved by the use of percentile </w:t>
      </w:r>
      <w:r w:rsidR="00951EBE">
        <w:rPr>
          <w:rFonts w:asciiTheme="majorHAnsi" w:hAnsiTheme="majorHAnsi"/>
        </w:rPr>
        <w:t xml:space="preserve">cholesterol </w:t>
      </w:r>
      <w:r>
        <w:rPr>
          <w:rFonts w:asciiTheme="majorHAnsi" w:hAnsiTheme="majorHAnsi"/>
        </w:rPr>
        <w:t xml:space="preserve">thresholds based on </w:t>
      </w:r>
      <w:proofErr w:type="gramStart"/>
      <w:r>
        <w:rPr>
          <w:rFonts w:asciiTheme="majorHAnsi" w:hAnsiTheme="majorHAnsi"/>
        </w:rPr>
        <w:t>nationally-representative</w:t>
      </w:r>
      <w:proofErr w:type="gramEnd"/>
      <w:r>
        <w:rPr>
          <w:rFonts w:asciiTheme="majorHAnsi" w:hAnsiTheme="majorHAnsi"/>
        </w:rPr>
        <w:t xml:space="preserve"> population data.</w:t>
      </w:r>
      <w:r w:rsidR="00D6130E" w:rsidRPr="00D6130E">
        <w:rPr>
          <w:rFonts w:asciiTheme="majorHAnsi" w:hAnsiTheme="majorHAnsi"/>
        </w:rPr>
        <w:t xml:space="preserve"> </w:t>
      </w:r>
    </w:p>
    <w:p w14:paraId="74C7403C" w14:textId="77777777" w:rsidR="00223119" w:rsidRDefault="00223119" w:rsidP="00D6130E">
      <w:pPr>
        <w:rPr>
          <w:rFonts w:asciiTheme="majorHAnsi" w:hAnsiTheme="majorHAnsi"/>
        </w:rPr>
      </w:pPr>
    </w:p>
    <w:p w14:paraId="1AF83875" w14:textId="77777777" w:rsidR="00951EBE" w:rsidRDefault="00223119" w:rsidP="00D6130E">
      <w:pPr>
        <w:rPr>
          <w:rFonts w:asciiTheme="majorHAnsi" w:hAnsiTheme="majorHAnsi"/>
        </w:rPr>
      </w:pPr>
      <w:r>
        <w:rPr>
          <w:rFonts w:asciiTheme="majorHAnsi" w:hAnsiTheme="majorHAnsi"/>
        </w:rPr>
        <w:t>Methods</w:t>
      </w:r>
    </w:p>
    <w:p w14:paraId="28984BA5" w14:textId="5FE6E4CC" w:rsidR="00A61077" w:rsidRDefault="00A61077" w:rsidP="00A61077">
      <w:pPr>
        <w:rPr>
          <w:rFonts w:asciiTheme="majorHAnsi" w:hAnsiTheme="majorHAnsi"/>
        </w:rPr>
      </w:pPr>
      <w:r>
        <w:rPr>
          <w:rFonts w:asciiTheme="majorHAnsi" w:hAnsiTheme="majorHAnsi"/>
        </w:rPr>
        <w:t>The Health Survey for England data (2003 – 2014) was used to estimate gender specific total and non-HDL Cholesterol age distributions for healthy adults (&gt;16).  Using LMS procedures, we have created smoothed curves demonstrating population based 90</w:t>
      </w:r>
      <w:r w:rsidRPr="00B05BBF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>, 97.5</w:t>
      </w:r>
      <w:r w:rsidRPr="00B05BBF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>, 99</w:t>
      </w:r>
      <w:r w:rsidRPr="00B05BBF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>, 99.5</w:t>
      </w:r>
      <w:r w:rsidRPr="00B05BBF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percentiles.</w:t>
      </w:r>
    </w:p>
    <w:p w14:paraId="2A2B7ED6" w14:textId="77777777" w:rsidR="00223119" w:rsidRDefault="00223119" w:rsidP="00D6130E">
      <w:pPr>
        <w:rPr>
          <w:rFonts w:asciiTheme="majorHAnsi" w:hAnsiTheme="majorHAnsi"/>
        </w:rPr>
      </w:pPr>
    </w:p>
    <w:p w14:paraId="61ADAC7C" w14:textId="77777777" w:rsidR="00223119" w:rsidRDefault="00223119" w:rsidP="00D6130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Results </w:t>
      </w:r>
    </w:p>
    <w:p w14:paraId="5EBEFB98" w14:textId="4A9E5D23" w:rsidR="00951EBE" w:rsidRDefault="00A61077" w:rsidP="00D6130E">
      <w:pPr>
        <w:rPr>
          <w:rFonts w:asciiTheme="majorHAnsi" w:hAnsiTheme="majorHAnsi"/>
        </w:rPr>
      </w:pPr>
      <w:r>
        <w:rPr>
          <w:rFonts w:asciiTheme="majorHAnsi" w:hAnsiTheme="majorHAnsi"/>
        </w:rPr>
        <w:t>N</w:t>
      </w:r>
      <w:r w:rsidR="00E14D00">
        <w:rPr>
          <w:rFonts w:asciiTheme="majorHAnsi" w:hAnsiTheme="majorHAnsi"/>
        </w:rPr>
        <w:t>on-HDL-C distributions derived from the HSE s</w:t>
      </w:r>
      <w:r w:rsidR="00951EBE">
        <w:rPr>
          <w:rFonts w:asciiTheme="majorHAnsi" w:hAnsiTheme="majorHAnsi"/>
        </w:rPr>
        <w:t>how remarkable consistency</w:t>
      </w:r>
      <w:r w:rsidR="00E14D00">
        <w:rPr>
          <w:rFonts w:asciiTheme="majorHAnsi" w:hAnsiTheme="majorHAnsi"/>
        </w:rPr>
        <w:t xml:space="preserve"> across years</w:t>
      </w:r>
      <w:r w:rsidR="00951EBE">
        <w:rPr>
          <w:rFonts w:asciiTheme="majorHAnsi" w:hAnsiTheme="majorHAnsi"/>
        </w:rPr>
        <w:t xml:space="preserve"> and confirm there is a strong dependence of non-HDL-C both on age and gender.</w:t>
      </w:r>
    </w:p>
    <w:p w14:paraId="5FC6DB4C" w14:textId="77777777" w:rsidR="00223119" w:rsidRDefault="00223119" w:rsidP="00D6130E">
      <w:pPr>
        <w:rPr>
          <w:rFonts w:asciiTheme="majorHAnsi" w:hAnsiTheme="majorHAnsi"/>
        </w:rPr>
      </w:pPr>
    </w:p>
    <w:p w14:paraId="6AD7CDB8" w14:textId="77777777" w:rsidR="00223119" w:rsidRDefault="00223119" w:rsidP="00D6130E">
      <w:pPr>
        <w:rPr>
          <w:rFonts w:asciiTheme="majorHAnsi" w:hAnsiTheme="majorHAnsi"/>
        </w:rPr>
      </w:pPr>
      <w:r>
        <w:rPr>
          <w:rFonts w:asciiTheme="majorHAnsi" w:hAnsiTheme="majorHAnsi"/>
        </w:rPr>
        <w:t>Discussion</w:t>
      </w:r>
    </w:p>
    <w:p w14:paraId="77F696BD" w14:textId="697BBBD5" w:rsidR="00A61077" w:rsidRPr="00951EBE" w:rsidRDefault="00A61077" w:rsidP="00A61077">
      <w:pPr>
        <w:rPr>
          <w:rFonts w:asciiTheme="majorHAnsi" w:hAnsiTheme="majorHAnsi"/>
        </w:rPr>
      </w:pPr>
      <w:r>
        <w:rPr>
          <w:rFonts w:asciiTheme="majorHAnsi" w:hAnsiTheme="majorHAnsi"/>
        </w:rPr>
        <w:t>The current LDL-C cholesterol threshold of 4.9mmol/L used for diagnosing FH is applied irrespective of age and gender, which corresponds to a non-HDL-C concentration of 5.7mmol/L (</w:t>
      </w:r>
      <w:proofErr w:type="spellStart"/>
      <w:r>
        <w:rPr>
          <w:rFonts w:asciiTheme="majorHAnsi" w:hAnsiTheme="majorHAnsi"/>
        </w:rPr>
        <w:t>Freidewald</w:t>
      </w:r>
      <w:proofErr w:type="spellEnd"/>
      <w:r>
        <w:rPr>
          <w:rFonts w:asciiTheme="majorHAnsi" w:hAnsiTheme="majorHAnsi"/>
        </w:rPr>
        <w:t xml:space="preserve"> calculation).  The value used (4.9mmol/L) is lies close to the 90</w:t>
      </w:r>
      <w:r w:rsidRPr="00A61077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percentile derived from HSE data for males </w:t>
      </w:r>
      <w:r w:rsidRPr="00951EBE">
        <w:rPr>
          <w:rFonts w:asciiTheme="majorHAnsi" w:hAnsiTheme="majorHAnsi"/>
        </w:rPr>
        <w:t>aged 35-64, but is above the 99</w:t>
      </w:r>
      <w:r w:rsidRPr="00951EBE">
        <w:rPr>
          <w:rFonts w:asciiTheme="majorHAnsi" w:hAnsiTheme="majorHAnsi"/>
          <w:vertAlign w:val="superscript"/>
        </w:rPr>
        <w:t>th</w:t>
      </w:r>
      <w:r w:rsidRPr="00951EBE">
        <w:rPr>
          <w:rFonts w:asciiTheme="majorHAnsi" w:hAnsiTheme="majorHAnsi"/>
        </w:rPr>
        <w:t xml:space="preserve"> centile for fema</w:t>
      </w:r>
      <w:r>
        <w:rPr>
          <w:rFonts w:asciiTheme="majorHAnsi" w:hAnsiTheme="majorHAnsi"/>
        </w:rPr>
        <w:t>les aged 16-24.  Use of this single threshold for diagnosing FH</w:t>
      </w:r>
      <w:r w:rsidRPr="00951EBE">
        <w:rPr>
          <w:rFonts w:asciiTheme="majorHAnsi" w:hAnsiTheme="majorHAnsi"/>
        </w:rPr>
        <w:t xml:space="preserve"> is likely to lead to under-dia</w:t>
      </w:r>
      <w:bookmarkStart w:id="0" w:name="_GoBack"/>
      <w:bookmarkEnd w:id="0"/>
      <w:r w:rsidRPr="00951EBE">
        <w:rPr>
          <w:rFonts w:asciiTheme="majorHAnsi" w:hAnsiTheme="majorHAnsi"/>
        </w:rPr>
        <w:t>gnosis in males &lt;35 and females &lt;45, as well as over-diagnosis in females &gt; 55.</w:t>
      </w:r>
    </w:p>
    <w:p w14:paraId="26AF0263" w14:textId="77777777" w:rsidR="00223119" w:rsidRDefault="00223119" w:rsidP="00D6130E">
      <w:pPr>
        <w:rPr>
          <w:rFonts w:asciiTheme="majorHAnsi" w:hAnsiTheme="majorHAnsi"/>
        </w:rPr>
      </w:pPr>
    </w:p>
    <w:p w14:paraId="22FB453E" w14:textId="77777777" w:rsidR="00223119" w:rsidRDefault="00223119" w:rsidP="00D6130E">
      <w:pPr>
        <w:rPr>
          <w:rFonts w:asciiTheme="majorHAnsi" w:hAnsiTheme="majorHAnsi"/>
        </w:rPr>
      </w:pPr>
      <w:r>
        <w:rPr>
          <w:rFonts w:asciiTheme="majorHAnsi" w:hAnsiTheme="majorHAnsi"/>
        </w:rPr>
        <w:t>Conclusions</w:t>
      </w:r>
    </w:p>
    <w:p w14:paraId="1C9C149F" w14:textId="77777777" w:rsidR="00951EBE" w:rsidRPr="00951EBE" w:rsidRDefault="00E14D00" w:rsidP="00951EBE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Incorporation of age and gender specific non-HDL-C per</w:t>
      </w:r>
      <w:r w:rsidR="00951EBE" w:rsidRPr="00951EBE">
        <w:rPr>
          <w:rFonts w:asciiTheme="majorHAnsi" w:hAnsiTheme="majorHAnsi"/>
        </w:rPr>
        <w:t>centiles into UK based FH scoring systems</w:t>
      </w:r>
      <w:r>
        <w:rPr>
          <w:rFonts w:asciiTheme="majorHAnsi" w:hAnsiTheme="majorHAnsi"/>
        </w:rPr>
        <w:t xml:space="preserve"> could potentially improve the</w:t>
      </w:r>
      <w:r w:rsidR="00951EBE" w:rsidRPr="00951EBE">
        <w:rPr>
          <w:rFonts w:asciiTheme="majorHAnsi" w:hAnsiTheme="majorHAnsi"/>
        </w:rPr>
        <w:t xml:space="preserve"> sensitivity and specificity for FH diagnosis and refine the selection of index cases for targeted genetic testing.  </w:t>
      </w:r>
    </w:p>
    <w:p w14:paraId="2ACFDAF9" w14:textId="77777777" w:rsidR="00951EBE" w:rsidRPr="00D6130E" w:rsidRDefault="00951EBE" w:rsidP="00951EBE">
      <w:pPr>
        <w:rPr>
          <w:rFonts w:asciiTheme="majorHAnsi" w:hAnsiTheme="majorHAnsi"/>
        </w:rPr>
      </w:pPr>
    </w:p>
    <w:p w14:paraId="031059AD" w14:textId="77777777" w:rsidR="00951EBE" w:rsidRDefault="00951EBE" w:rsidP="00D6130E">
      <w:pPr>
        <w:rPr>
          <w:rFonts w:asciiTheme="majorHAnsi" w:hAnsiTheme="majorHAnsi"/>
        </w:rPr>
      </w:pPr>
    </w:p>
    <w:p w14:paraId="254D05CF" w14:textId="77777777" w:rsidR="00223119" w:rsidRDefault="00223119" w:rsidP="00D6130E">
      <w:pPr>
        <w:rPr>
          <w:rFonts w:asciiTheme="majorHAnsi" w:hAnsiTheme="majorHAnsi"/>
        </w:rPr>
      </w:pPr>
    </w:p>
    <w:p w14:paraId="16E4A661" w14:textId="77777777" w:rsidR="00D6130E" w:rsidRPr="00D6130E" w:rsidRDefault="00D6130E" w:rsidP="00D6130E">
      <w:pPr>
        <w:rPr>
          <w:rFonts w:asciiTheme="majorHAnsi" w:hAnsiTheme="majorHAnsi"/>
        </w:rPr>
      </w:pPr>
    </w:p>
    <w:p w14:paraId="5CCF88FD" w14:textId="77777777" w:rsidR="00D6130E" w:rsidRDefault="00D6130E"/>
    <w:p w14:paraId="20C74321" w14:textId="77777777" w:rsidR="00D6130E" w:rsidRDefault="00D6130E"/>
    <w:p w14:paraId="17670E13" w14:textId="77777777" w:rsidR="00D6130E" w:rsidRDefault="00D6130E"/>
    <w:p w14:paraId="6793B482" w14:textId="77777777" w:rsidR="00D6130E" w:rsidRDefault="00D6130E"/>
    <w:sectPr w:rsidR="00D6130E" w:rsidSect="00F13FD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30E"/>
    <w:rsid w:val="00223119"/>
    <w:rsid w:val="00295A4E"/>
    <w:rsid w:val="00951EBE"/>
    <w:rsid w:val="009B7830"/>
    <w:rsid w:val="00A56DC5"/>
    <w:rsid w:val="00A61077"/>
    <w:rsid w:val="00C3626C"/>
    <w:rsid w:val="00D6130E"/>
    <w:rsid w:val="00E14D00"/>
    <w:rsid w:val="00E15069"/>
    <w:rsid w:val="00F1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8FC1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613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130E"/>
    <w:pPr>
      <w:spacing w:after="160"/>
    </w:pPr>
    <w:rPr>
      <w:rFonts w:eastAsiaTheme="minorHAns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6130E"/>
    <w:rPr>
      <w:rFonts w:eastAsiaTheme="minorHAnsi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D6130E"/>
  </w:style>
  <w:style w:type="paragraph" w:styleId="BalloonText">
    <w:name w:val="Balloon Text"/>
    <w:basedOn w:val="Normal"/>
    <w:link w:val="BalloonTextChar"/>
    <w:uiPriority w:val="99"/>
    <w:semiHidden/>
    <w:unhideWhenUsed/>
    <w:rsid w:val="00D613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30E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9B783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613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130E"/>
    <w:pPr>
      <w:spacing w:after="160"/>
    </w:pPr>
    <w:rPr>
      <w:rFonts w:eastAsiaTheme="minorHAns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6130E"/>
    <w:rPr>
      <w:rFonts w:eastAsiaTheme="minorHAnsi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D6130E"/>
  </w:style>
  <w:style w:type="paragraph" w:styleId="BalloonText">
    <w:name w:val="Balloon Text"/>
    <w:basedOn w:val="Normal"/>
    <w:link w:val="BalloonTextChar"/>
    <w:uiPriority w:val="99"/>
    <w:semiHidden/>
    <w:unhideWhenUsed/>
    <w:rsid w:val="00D613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30E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9B7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374</Words>
  <Characters>2135</Characters>
  <Application>Microsoft Macintosh Word</Application>
  <DocSecurity>0</DocSecurity>
  <Lines>17</Lines>
  <Paragraphs>5</Paragraphs>
  <ScaleCrop>false</ScaleCrop>
  <Company>Newcastle University</Company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Allen</dc:creator>
  <cp:keywords/>
  <dc:description/>
  <cp:lastModifiedBy>Joy Allen</cp:lastModifiedBy>
  <cp:revision>3</cp:revision>
  <dcterms:created xsi:type="dcterms:W3CDTF">2017-05-17T14:09:00Z</dcterms:created>
  <dcterms:modified xsi:type="dcterms:W3CDTF">2017-05-18T11:11:00Z</dcterms:modified>
</cp:coreProperties>
</file>