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40"/>
      </w:pPr>
      <w:r>
        <w:rPr>
          <w:rFonts w:ascii="Times New Roman" w:hAnsi="Times New Roman" w:cs="Times New Roman"/>
          <w:b/>
          <w:sz w:val="28"/>
          <w:szCs w:val="28"/>
        </w:rPr>
        <w:t xml:space="preserve">GIS AND REMOTE SENSING-BASED ASSESSMENT OF IRRIGATED LAND DEGRADATION IN SYRDARYA PROVINCE, UZBEKISTAN</w:t>
      </w:r>
    </w:p>
    <w:p>
      <w:pPr>
        <w:jc w:val="center"/>
        <w:spacing w:after="80"/>
      </w:pPr>
      <w:r>
        <w:rPr>
          <w:rFonts w:ascii="Times New Roman" w:hAnsi="Times New Roman" w:cs="Times New Roman"/>
          <w:i/>
          <w:sz w:val="24"/>
          <w:szCs w:val="24"/>
        </w:rPr>
        <w:t xml:space="preserve">Author: [Last Name, First Name]</w:t>
      </w:r>
    </w:p>
    <w:p>
      <w:pPr>
        <w:jc w:val="center"/>
        <w:spacing w:after="80"/>
      </w:pPr>
      <w:r>
        <w:rPr>
          <w:rFonts w:ascii="Times New Roman" w:hAnsi="Times New Roman" w:cs="Times New Roman"/>
          <w:i/>
          <w:sz w:val="24"/>
          <w:szCs w:val="24"/>
        </w:rPr>
        <w:t xml:space="preserve">Affiliation: Tashkent State Agrarian University, Tashkent, Uzbekistan</w:t>
      </w:r>
    </w:p>
    <w:p>
      <w:pPr>
        <w:jc w:val="center"/>
        <w:spacing w:after="80"/>
      </w:pPr>
      <w:r>
        <w:rPr>
          <w:rFonts w:ascii="Times New Roman" w:hAnsi="Times New Roman" w:cs="Times New Roman"/>
          <w:i/>
          <w:sz w:val="24"/>
          <w:szCs w:val="24"/>
        </w:rPr>
        <w:t xml:space="preserve">Corresponding author email: [email@tdau.uz]</w:t>
      </w:r>
    </w:p>
    <w:p>
      <w:r>
        <w:t>────────────────────────────────────────────────</w:t>
      </w:r>
    </w:p>
    <w:p>
      <w:pPr>
        <w:spacing w:before="240" w:after="120"/>
      </w:pPr>
      <w:r>
        <w:rPr>
          <w:rFonts w:ascii="Times New Roman" w:hAnsi="Times New Roman" w:cs="Times New Roman"/>
          <w:b/>
          <w:sz w:val="24"/>
          <w:szCs w:val="24"/>
        </w:rPr>
        <w:t xml:space="preserve">ABSTRACT</w:t>
      </w:r>
    </w:p>
    <w:p>
      <w:pPr>
        <w:ind w:firstLine="709"/>
        <w:spacing w:line="240" w:lineRule="auto" w:after="0"/>
        <w:jc w:val="both"/>
      </w:pPr>
      <w:r>
        <w:rPr>
          <w:rFonts w:ascii="Times New Roman" w:hAnsi="Times New Roman" w:cs="Times New Roman"/>
          <w:sz w:val="24"/>
          <w:szCs w:val="24"/>
        </w:rPr>
        <w:t xml:space="preserve">This study presents a comprehensive assessment of soil salinization, waterlogging, and vegetation degradation in the irrigated lands of Syrdarya Province, Uzbekistan, using Geospatial Information Technologies (GIT) — specifically remote sensing (Sentinel-2, Landsat 8/9) and Geographic Information Systems (GIS). The study covers the period 2000–2024. Three types of land degradation were simultaneously analyzed using spectral indices — NDVI, NDSI, NDWI, and SI. Results revealed that 51.0% (112,200 ha) of the province's irrigated lands are affected by salinization to varying degrees, 39.0% (85,800 ha) by waterlogging, and mean NDVI declined by 16.2% over 24 years. A Random Forest-based classification model achieved an overall accuracy of 87.8% (Kappa = 0.85). The correlation between NDSI and laboratory electrical conductivity (EC) measurements was r = 0.82. The proposed automated monitoring system provides 82% cost savings and 4× faster update cycles compared to conventional methods. The findings provide a methodological basis for fulfilling Uzbekistan's commitments under UN Sustainable Development Goal 15.3 (Land Degradation Neutrality — LDN) by 2030.</w:t>
      </w:r>
    </w:p>
    <w:p>
      <w:pPr>
        <w:ind w:left="720" w:right="720"/>
        <w:spacing w:after="200"/>
        <w:jc w:val="both"/>
      </w:pPr>
      <w:r>
        <w:rPr>
          <w:rFonts w:ascii="Times New Roman" w:hAnsi="Times New Roman" w:cs="Times New Roman"/>
          <w:b/>
          <w:i/>
          <w:sz w:val="22"/>
        </w:rPr>
        <w:t xml:space="preserve">Keywords: </w:t>
      </w:r>
      <w:r>
        <w:rPr>
          <w:rFonts w:ascii="Times New Roman" w:hAnsi="Times New Roman" w:cs="Times New Roman"/>
          <w:i/>
          <w:sz w:val="22"/>
        </w:rPr>
        <w:t xml:space="preserve">Keywords: irrigated land; land degradation; GIS; remote sensing; Sentinel-2; NDVI; soil salinization; Syrdarya Province; Land Degradation Neutrality; Random Forest</w:t>
      </w:r>
    </w:p>
    <w:p>
      <w:r>
        <w:t>────────────────────────────────────────────────</w:t>
      </w:r>
    </w:p>
    <w:p>
      <w:pPr>
        <w:spacing w:before="240" w:after="120"/>
      </w:pPr>
      <w:r>
        <w:rPr>
          <w:rFonts w:ascii="Times New Roman" w:hAnsi="Times New Roman" w:cs="Times New Roman"/>
          <w:b/>
          <w:sz w:val="24"/>
          <w:szCs w:val="24"/>
        </w:rPr>
        <w:t xml:space="preserve">1. INTRODUCTION</w:t>
      </w:r>
    </w:p>
    <w:p>
      <w:pPr>
        <w:ind w:firstLine="709"/>
        <w:spacing w:line="240" w:lineRule="auto" w:after="0"/>
        <w:jc w:val="both"/>
      </w:pPr>
      <w:r>
        <w:rPr>
          <w:rFonts w:ascii="Times New Roman" w:hAnsi="Times New Roman" w:cs="Times New Roman"/>
          <w:sz w:val="24"/>
          <w:szCs w:val="24"/>
        </w:rPr>
        <w:t xml:space="preserve">Land degradation in irrigated areas — manifested as soil salinization, waterlogging, and declining soil productivity — poses a serious threat to food security and ecological sustainability worldwide. According to IPBES (2018), approximately 40% of global land area has been degraded to some extent, with 12 million hectares of productive land lost annually. In Central Asia, the situation is particularly severe: more than 50% of irrigated lands are affected by salinization or waterlogging (IWMI, 2017).</w:t>
      </w:r>
    </w:p>
    <w:p>
      <w:pPr>
        <w:ind w:firstLine="709"/>
        <w:spacing w:line="240" w:lineRule="auto" w:after="0"/>
        <w:jc w:val="both"/>
      </w:pPr>
      <w:r>
        <w:rPr>
          <w:rFonts w:ascii="Times New Roman" w:hAnsi="Times New Roman" w:cs="Times New Roman"/>
          <w:sz w:val="24"/>
          <w:szCs w:val="24"/>
        </w:rPr>
        <w:t xml:space="preserve">Uzbekistan possesses over 4.3 million hectares of irrigated land, which contributes approximately 25% of national GDP (World Bank, 2025). However, intensive irrigation practices and aging irrigation and drainage infrastructure have led to an accelerating pace of land degradation. Syrdarya Province is one of the regions most severely affected by this problem: a large part of the province lies within the Mirzachul steppe, where large-scale irrigated agriculture was introduced in the mid-twentieth century, and where the ecological situation has reached a critical level.</w:t>
      </w:r>
    </w:p>
    <w:p>
      <w:pPr>
        <w:ind w:firstLine="709"/>
        <w:spacing w:line="240" w:lineRule="auto" w:after="0"/>
        <w:jc w:val="both"/>
      </w:pPr>
      <w:r>
        <w:rPr>
          <w:rFonts w:ascii="Times New Roman" w:hAnsi="Times New Roman" w:cs="Times New Roman"/>
          <w:sz w:val="24"/>
          <w:szCs w:val="24"/>
        </w:rPr>
        <w:t xml:space="preserve">The key limitation of existing land degradation accounting systems is that data are updated only once per year, spatial coverage is partial, and no integration with the cadastral system exists. This impedes timely detection and remediation of degradation.</w:t>
      </w:r>
    </w:p>
    <w:p>
      <w:pPr>
        <w:ind w:firstLine="709"/>
        <w:spacing w:line="240" w:lineRule="auto" w:after="0"/>
        <w:jc w:val="both"/>
      </w:pPr>
      <w:r>
        <w:rPr>
          <w:rFonts w:ascii="Times New Roman" w:hAnsi="Times New Roman" w:cs="Times New Roman"/>
          <w:sz w:val="24"/>
          <w:szCs w:val="24"/>
        </w:rPr>
        <w:t xml:space="preserve">Geospatial Information Technologies (GIT) — including remote sensing and GIS — allow degradation processes to be monitored over large areas in a rapid, repeatable, and cost-effective manner. Sentinel-2 and Landsat satellite imagery, combined with the Google Earth Engine (GEE) cloud computing platform, enable quarterly updates of irrigated land status (Gorelick et al., 2017; Kust et al., 2023).</w:t>
      </w:r>
    </w:p>
    <w:p>
      <w:pPr>
        <w:ind w:firstLine="709"/>
        <w:spacing w:line="240" w:lineRule="auto" w:after="0"/>
        <w:jc w:val="both"/>
      </w:pPr>
      <w:r>
        <w:rPr>
          <w:rFonts w:ascii="Times New Roman" w:hAnsi="Times New Roman" w:cs="Times New Roman"/>
          <w:sz w:val="24"/>
          <w:szCs w:val="24"/>
        </w:rPr>
        <w:t xml:space="preserve">The aim of this study is to conduct a comprehensive GIT-based assessment of land degradation in the irrigated areas of Syrdarya Province and to propose an automated monitoring system.</w:t>
      </w:r>
    </w:p>
    <w:p>
      <w:pPr>
        <w:ind w:firstLine="709"/>
        <w:spacing w:line="240" w:lineRule="auto" w:after="0"/>
        <w:jc w:val="both"/>
      </w:pPr>
      <w:r>
        <w:rPr>
          <w:rFonts w:ascii="Times New Roman" w:hAnsi="Times New Roman" w:cs="Times New Roman"/>
          <w:sz w:val="24"/>
          <w:szCs w:val="24"/>
        </w:rPr>
        <w:t xml:space="preserve">Objectives:</w:t>
      </w:r>
    </w:p>
    <w:p>
      <w:pPr>
        <w:ind w:firstLine="709"/>
        <w:spacing w:line="240" w:lineRule="auto" w:after="0"/>
        <w:jc w:val="both"/>
      </w:pPr>
      <w:r>
        <w:rPr>
          <w:rFonts w:ascii="Times New Roman" w:hAnsi="Times New Roman" w:cs="Times New Roman"/>
          <w:sz w:val="24"/>
          <w:szCs w:val="24"/>
        </w:rPr>
        <w:t xml:space="preserve">1. To determine the current state of salinization, waterlogging, and vegetation degradation in Syrdarya Province;</w:t>
      </w:r>
    </w:p>
    <w:p>
      <w:pPr>
        <w:ind w:firstLine="709"/>
        <w:spacing w:line="240" w:lineRule="auto" w:after="0"/>
        <w:jc w:val="both"/>
      </w:pPr>
      <w:r>
        <w:rPr>
          <w:rFonts w:ascii="Times New Roman" w:hAnsi="Times New Roman" w:cs="Times New Roman"/>
          <w:sz w:val="24"/>
          <w:szCs w:val="24"/>
        </w:rPr>
        <w:t xml:space="preserve">2. To map and validate land degradation using spectral indices (NDVI, NDSI, NDWI, SI) and a Random Forest algorithm;</w:t>
      </w:r>
    </w:p>
    <w:p>
      <w:pPr>
        <w:ind w:firstLine="709"/>
        <w:spacing w:line="240" w:lineRule="auto" w:after="0"/>
        <w:jc w:val="both"/>
      </w:pPr>
      <w:r>
        <w:rPr>
          <w:rFonts w:ascii="Times New Roman" w:hAnsi="Times New Roman" w:cs="Times New Roman"/>
          <w:sz w:val="24"/>
          <w:szCs w:val="24"/>
        </w:rPr>
        <w:t xml:space="preserve">3. To assess multi-year degradation trends for 2000–2024;</w:t>
      </w:r>
    </w:p>
    <w:p>
      <w:pPr>
        <w:ind w:firstLine="709"/>
        <w:spacing w:line="240" w:lineRule="auto" w:after="0"/>
        <w:jc w:val="both"/>
      </w:pPr>
      <w:r>
        <w:rPr>
          <w:rFonts w:ascii="Times New Roman" w:hAnsi="Times New Roman" w:cs="Times New Roman"/>
          <w:sz w:val="24"/>
          <w:szCs w:val="24"/>
        </w:rPr>
        <w:t xml:space="preserve">4. To propose an automated monitoring system integrated with the cadastral system.</w:t>
      </w:r>
    </w:p>
    <w:p>
      <w:pPr>
        <w:ind w:firstLine="709"/>
        <w:spacing w:line="240" w:lineRule="auto" w:after="0"/>
        <w:jc w:val="both"/>
      </w:pPr>
      <w:r>
        <w:rPr>
          <w:rFonts w:ascii="Times New Roman" w:hAnsi="Times New Roman" w:cs="Times New Roman"/>
          <w:sz w:val="24"/>
          <w:szCs w:val="24"/>
        </w:rPr>
        <w:t xml:space="preserve">The study's relevance is further underscored by Uzbekistan's national commitment to achieving SDG 15.3 (Land Degradation Neutrality) by 2030.</w:t>
      </w:r>
    </w:p>
    <w:p>
      <w:r>
        <w:t>────────────────────────────────────────────────</w:t>
      </w:r>
    </w:p>
    <w:p>
      <w:pPr>
        <w:spacing w:before="240" w:after="120"/>
      </w:pPr>
      <w:r>
        <w:rPr>
          <w:rFonts w:ascii="Times New Roman" w:hAnsi="Times New Roman" w:cs="Times New Roman"/>
          <w:b/>
          <w:sz w:val="24"/>
          <w:szCs w:val="24"/>
        </w:rPr>
        <w:t xml:space="preserve">2. MATERIALS AND METHODS</w:t>
      </w:r>
    </w:p>
    <w:p>
      <w:pPr>
        <w:spacing w:before="160" w:after="80"/>
      </w:pPr>
      <w:r>
        <w:rPr>
          <w:rFonts w:ascii="Times New Roman" w:hAnsi="Times New Roman" w:cs="Times New Roman"/>
          <w:b/>
          <w:sz w:val="24"/>
          <w:szCs w:val="24"/>
        </w:rPr>
        <w:t xml:space="preserve">2.1. Study Area</w:t>
      </w:r>
    </w:p>
    <w:p>
      <w:pPr>
        <w:ind w:firstLine="709"/>
        <w:spacing w:line="240" w:lineRule="auto" w:after="0"/>
        <w:jc w:val="both"/>
      </w:pPr>
      <w:r>
        <w:rPr>
          <w:rFonts w:ascii="Times New Roman" w:hAnsi="Times New Roman" w:cs="Times New Roman"/>
          <w:sz w:val="24"/>
          <w:szCs w:val="24"/>
        </w:rPr>
        <w:t xml:space="preserve">The study area is Syrdarya Province, Republic of Uzbekistan (40.1°–41.2°N, 67.8°–70.5°E). The province covers 4,276 km² with a population of approximately 860,900 (2021). Much of the territory lies within the Mirzachul steppe. The climate is continental — hot and dry in summer (+35–40°C) with annual precipitation of 200–280 mm. Total irrigated land area is approximately 220,000 ha, with cotton and wheat as the main crops. Groundwater depth ranges from 1 to 3 m across much of the area, with groundwater mineralization of 3–15 g/L.</w:t>
      </w:r>
    </w:p>
    <w:p>
      <w:pPr>
        <w:spacing w:before="160" w:after="80"/>
      </w:pPr>
      <w:r>
        <w:rPr>
          <w:rFonts w:ascii="Times New Roman" w:hAnsi="Times New Roman" w:cs="Times New Roman"/>
          <w:b/>
          <w:sz w:val="24"/>
          <w:szCs w:val="24"/>
        </w:rPr>
        <w:t xml:space="preserve">2.2. Data Sources</w:t>
      </w:r>
    </w:p>
    <w:p>
      <w:pPr>
        <w:spacing w:before="120" w:after="60"/>
      </w:pPr>
      <w:r>
        <w:rPr>
          <w:rFonts w:ascii="Times New Roman" w:hAnsi="Times New Roman" w:cs="Times New Roman"/>
          <w:b/>
          <w:i/>
          <w:sz w:val="24"/>
          <w:szCs w:val="24"/>
        </w:rPr>
        <w:t xml:space="preserve">2.2.1. Remote Sensing Data</w:t>
      </w:r>
    </w:p>
    <w:p>
      <w:pPr>
        <w:ind w:left="360"/>
        <w:spacing w:line="220" w:lineRule="auto" w:after="0"/>
      </w:pPr>
      <w:r>
        <w:rPr>
          <w:rFonts w:ascii="Courier New" w:hAnsi="Courier New"/>
          <w:sz w:val="18"/>
          <w:szCs w:val="18"/>
        </w:rPr>
        <w:t xml:space="preserve">Source  |  Period  |  Resolution  |  Purpose</w:t>
      </w:r>
    </w:p>
    <w:p>
      <w:pPr>
        <w:ind w:left="360"/>
        <w:spacing w:line="220" w:lineRule="auto" w:after="0"/>
      </w:pPr>
      <w:r>
        <w:rPr>
          <w:rFonts w:ascii="Courier New" w:hAnsi="Courier New"/>
          <w:sz w:val="18"/>
          <w:szCs w:val="18"/>
        </w:rPr>
        <w:t xml:space="preserve">Sentinel-2A/2B (ESA)  |  2017–2024  |  10–20 m  |  Spectral indices, mapping</w:t>
      </w:r>
    </w:p>
    <w:p>
      <w:pPr>
        <w:ind w:left="360"/>
        <w:spacing w:line="220" w:lineRule="auto" w:after="0"/>
      </w:pPr>
      <w:r>
        <w:rPr>
          <w:rFonts w:ascii="Courier New" w:hAnsi="Courier New"/>
          <w:sz w:val="18"/>
          <w:szCs w:val="18"/>
        </w:rPr>
        <w:t xml:space="preserve">Landsat 8/9 OLI (USGS)  |  2013–2024  |  30 m  |  Multi-year trend analysis</w:t>
      </w:r>
    </w:p>
    <w:p>
      <w:pPr>
        <w:ind w:left="360"/>
        <w:spacing w:line="220" w:lineRule="auto" w:after="0"/>
      </w:pPr>
      <w:r>
        <w:rPr>
          <w:rFonts w:ascii="Courier New" w:hAnsi="Courier New"/>
          <w:sz w:val="18"/>
          <w:szCs w:val="18"/>
        </w:rPr>
        <w:t xml:space="preserve">MODIS MOD13Q1 (NASA)  |  2000–2024  |  250 m  |  LPD trend analysis</w:t>
      </w:r>
    </w:p>
    <w:p>
      <w:pPr>
        <w:ind w:left="360"/>
        <w:spacing w:line="220" w:lineRule="auto" w:after="0"/>
      </w:pPr>
      <w:r>
        <w:rPr>
          <w:rFonts w:ascii="Courier New" w:hAnsi="Courier New"/>
          <w:sz w:val="18"/>
          <w:szCs w:val="18"/>
        </w:rPr>
        <w:t xml:space="preserve">Sentinel-1 SAR (ESA)  |  2017–2024  |  10 m  |  Cloud-free monitoring</w:t>
      </w:r>
    </w:p>
    <w:p>
      <w:pPr>
        <w:ind w:firstLine="709"/>
        <w:spacing w:line="240" w:lineRule="auto" w:after="0"/>
        <w:jc w:val="both"/>
      </w:pPr>
      <w:r>
        <w:rPr>
          <w:rFonts w:ascii="Times New Roman" w:hAnsi="Times New Roman" w:cs="Times New Roman"/>
          <w:sz w:val="24"/>
          <w:szCs w:val="24"/>
        </w:rPr>
        <w:t xml:space="preserve">Imagery was acquired via the Google Earth Engine (GEE) platform. For Sentinel-2, only scenes with cloud cover below 15% were selected. Annual median composites were generated to reduce atmospheric noise.</w:t>
      </w:r>
    </w:p>
    <w:p>
      <w:pPr>
        <w:spacing w:before="120" w:after="60"/>
      </w:pPr>
      <w:r>
        <w:rPr>
          <w:rFonts w:ascii="Times New Roman" w:hAnsi="Times New Roman" w:cs="Times New Roman"/>
          <w:b/>
          <w:i/>
          <w:sz w:val="24"/>
          <w:szCs w:val="24"/>
        </w:rPr>
        <w:t xml:space="preserve">2.2.2. Field Data</w:t>
      </w:r>
    </w:p>
    <w:p>
      <w:pPr>
        <w:ind w:firstLine="709"/>
        <w:spacing w:line="240" w:lineRule="auto" w:after="0"/>
        <w:jc w:val="both"/>
      </w:pPr>
      <w:r>
        <w:rPr>
          <w:rFonts w:ascii="Times New Roman" w:hAnsi="Times New Roman" w:cs="Times New Roman"/>
          <w:sz w:val="24"/>
          <w:szCs w:val="24"/>
        </w:rPr>
        <w:t xml:space="preserve">Field surveys were conducted at 150 sampling points across all 8 districts of Syrdarya Province (2022–2023). A stratified random sampling design ensured at least 30 points per degradation class. At each point, the following measurements were taken:</w:t>
      </w:r>
    </w:p>
    <w:p>
      <w:pPr>
        <w:ind w:left="720" w:hanging="360"/>
        <w:spacing w:line="240" w:lineRule="auto" w:after="0"/>
      </w:pPr>
      <w:r>
        <w:rPr>
          <w:rFonts w:ascii="Times New Roman" w:hAnsi="Times New Roman" w:cs="Times New Roman"/>
          <w:sz w:val="24"/>
          <w:szCs w:val="24"/>
        </w:rPr>
        <w:t xml:space="preserve">• Soil electrical conductivity (EC) at depths of 0–30, 30–60, and 60–100 cm;</w:t>
      </w:r>
    </w:p>
    <w:p>
      <w:pPr>
        <w:ind w:left="720" w:hanging="360"/>
        <w:spacing w:line="240" w:lineRule="auto" w:after="0"/>
      </w:pPr>
      <w:r>
        <w:rPr>
          <w:rFonts w:ascii="Times New Roman" w:hAnsi="Times New Roman" w:cs="Times New Roman"/>
          <w:sz w:val="24"/>
          <w:szCs w:val="24"/>
        </w:rPr>
        <w:t xml:space="preserve">• Groundwater depth (from observation wells);</w:t>
      </w:r>
    </w:p>
    <w:p>
      <w:pPr>
        <w:ind w:left="720" w:hanging="360"/>
        <w:spacing w:line="240" w:lineRule="auto" w:after="0"/>
      </w:pPr>
      <w:r>
        <w:rPr>
          <w:rFonts w:ascii="Times New Roman" w:hAnsi="Times New Roman" w:cs="Times New Roman"/>
          <w:sz w:val="24"/>
          <w:szCs w:val="24"/>
        </w:rPr>
        <w:t xml:space="preserve">• GPS coordinates (accuracy ±3 m, Garmin GPSmap 64s);</w:t>
      </w:r>
    </w:p>
    <w:p>
      <w:pPr>
        <w:ind w:left="720" w:hanging="360"/>
        <w:spacing w:line="240" w:lineRule="auto" w:after="0"/>
      </w:pPr>
      <w:r>
        <w:rPr>
          <w:rFonts w:ascii="Times New Roman" w:hAnsi="Times New Roman" w:cs="Times New Roman"/>
          <w:sz w:val="24"/>
          <w:szCs w:val="24"/>
        </w:rPr>
        <w:t xml:space="preserve">• Visual observations — salt crust presence, vegetation condition.</w:t>
      </w:r>
    </w:p>
    <w:p>
      <w:pPr>
        <w:spacing w:before="120" w:after="60"/>
      </w:pPr>
      <w:r>
        <w:rPr>
          <w:rFonts w:ascii="Times New Roman" w:hAnsi="Times New Roman" w:cs="Times New Roman"/>
          <w:b/>
          <w:i/>
          <w:sz w:val="24"/>
          <w:szCs w:val="24"/>
        </w:rPr>
        <w:t xml:space="preserve">2.2.3. Cadastral Data</w:t>
      </w:r>
    </w:p>
    <w:p>
      <w:pPr>
        <w:ind w:firstLine="709"/>
        <w:spacing w:line="240" w:lineRule="auto" w:after="0"/>
        <w:jc w:val="both"/>
      </w:pPr>
      <w:r>
        <w:rPr>
          <w:rFonts w:ascii="Times New Roman" w:hAnsi="Times New Roman" w:cs="Times New Roman"/>
          <w:sz w:val="24"/>
          <w:szCs w:val="24"/>
        </w:rPr>
        <w:t xml:space="preserve">Digital cadastral maps (shapefile format), land quality scores (ball boniteti, 2015 and 2020), and land use data were obtained from the Syrdarya Province State Cadastre Office.</w:t>
      </w:r>
    </w:p>
    <w:p>
      <w:pPr>
        <w:spacing w:before="160" w:after="80"/>
      </w:pPr>
      <w:r>
        <w:rPr>
          <w:rFonts w:ascii="Times New Roman" w:hAnsi="Times New Roman" w:cs="Times New Roman"/>
          <w:b/>
          <w:sz w:val="24"/>
          <w:szCs w:val="24"/>
        </w:rPr>
        <w:t xml:space="preserve">2.3. Spectral Indices</w:t>
      </w:r>
    </w:p>
    <w:p>
      <w:pPr>
        <w:ind w:firstLine="709"/>
        <w:spacing w:line="240" w:lineRule="auto" w:after="0"/>
        <w:jc w:val="both"/>
      </w:pPr>
      <w:r>
        <w:rPr>
          <w:rFonts w:ascii="Times New Roman" w:hAnsi="Times New Roman" w:cs="Times New Roman"/>
          <w:sz w:val="24"/>
          <w:szCs w:val="24"/>
        </w:rPr>
        <w:t xml:space="preserve">The following spectral indices were derived from Sentinel-2 and Landsat imagery:</w:t>
      </w:r>
    </w:p>
    <w:p>
      <w:pPr>
        <w:ind w:firstLine="709"/>
        <w:spacing w:line="240" w:lineRule="auto" w:after="0"/>
        <w:jc w:val="both"/>
      </w:pPr>
      <w:r>
        <w:rPr>
          <w:rFonts w:ascii="Times New Roman" w:hAnsi="Times New Roman" w:cs="Times New Roman"/>
          <w:sz w:val="24"/>
          <w:szCs w:val="24"/>
        </w:rPr>
        <w:t xml:space="preserve">NDVI — Normalized Difference Vegetation Index:</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NDSI — Normalized Difference Salinity Index:</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NDWI — Normalized Difference Water Index:</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SI — Salinity Index:</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SAVI — Soil-Adjusted Vegetation Index:</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Band assignments: for Sentinel-2, NIR = B8, RED = B4, GREEN = B3; for Landsat 8/9, NIR = B5, RED = B4, GREEN = B3.</w:t>
      </w:r>
    </w:p>
    <w:p>
      <w:pPr>
        <w:spacing w:before="160" w:after="80"/>
      </w:pPr>
      <w:r>
        <w:rPr>
          <w:rFonts w:ascii="Times New Roman" w:hAnsi="Times New Roman" w:cs="Times New Roman"/>
          <w:b/>
          <w:sz w:val="24"/>
          <w:szCs w:val="24"/>
        </w:rPr>
        <w:t xml:space="preserve">2.4. Classification Methodology</w:t>
      </w:r>
    </w:p>
    <w:p>
      <w:pPr>
        <w:ind w:firstLine="709"/>
        <w:spacing w:line="240" w:lineRule="auto" w:after="0"/>
        <w:jc w:val="both"/>
      </w:pPr>
      <w:r>
        <w:rPr>
          <w:rFonts w:ascii="Times New Roman" w:hAnsi="Times New Roman" w:cs="Times New Roman"/>
          <w:sz w:val="24"/>
          <w:szCs w:val="24"/>
        </w:rPr>
        <w:t xml:space="preserve">A Random Forest (RF) algorithm was applied to classify degradation severity (0 = none, 1 = slight, 2 = moderate, 3 = severe, 4 = very severe). Model parameters: 200 decision trees; input features — NDVI, NDSI, NDWI, SI, SAVI, groundwater depth, canal distance, DEM; training/test split = 70%/30%; k = 5 cross-validation.</w:t>
      </w:r>
    </w:p>
    <w:p>
      <w:pPr>
        <w:spacing w:before="160" w:after="80"/>
      </w:pPr>
      <w:r>
        <w:rPr>
          <w:rFonts w:ascii="Times New Roman" w:hAnsi="Times New Roman" w:cs="Times New Roman"/>
          <w:b/>
          <w:sz w:val="24"/>
          <w:szCs w:val="24"/>
        </w:rPr>
        <w:t xml:space="preserve">2.5. Multi-Year Trend Analysis</w:t>
      </w:r>
    </w:p>
    <w:p>
      <w:pPr>
        <w:ind w:firstLine="709"/>
        <w:spacing w:line="240" w:lineRule="auto" w:after="0"/>
        <w:jc w:val="both"/>
      </w:pPr>
      <w:r>
        <w:rPr>
          <w:rFonts w:ascii="Times New Roman" w:hAnsi="Times New Roman" w:cs="Times New Roman"/>
          <w:sz w:val="24"/>
          <w:szCs w:val="24"/>
        </w:rPr>
        <w:t xml:space="preserve">Mann-Kendall trend test and Theil-Sen slope estimator were applied to the MODIS NDVI time series (2000–2024). The Mann-Kendall S statistic:</w:t>
      </w:r>
    </w:p>
    <w:p>
      <w:pPr>
        <w:ind w:firstLine="709"/>
        <w:spacing w:line="240" w:lineRule="auto" w:after="0"/>
        <w:jc w:val="both"/>
      </w:pPr>
      <w:r>
        <w:rPr>
          <w:rFonts w:ascii="Times New Roman" w:hAnsi="Times New Roman" w:cs="Times New Roman"/>
          <w:sz w:val="24"/>
          <w:szCs w:val="24"/>
        </w:rPr>
        <w:t xml:space="preserve">[formula]</w:t>
      </w:r>
    </w:p>
    <w:p>
      <w:pPr>
        <w:ind w:firstLine="709"/>
        <w:spacing w:line="240" w:lineRule="auto" w:after="0"/>
        <w:jc w:val="both"/>
      </w:pPr>
      <w:r>
        <w:rPr>
          <w:rFonts w:ascii="Times New Roman" w:hAnsi="Times New Roman" w:cs="Times New Roman"/>
          <w:sz w:val="24"/>
          <w:szCs w:val="24"/>
        </w:rPr>
        <w:t xml:space="preserve">Trends were considered statistically significant at p &lt; 0.05.</w:t>
      </w:r>
    </w:p>
    <w:p>
      <w:pPr>
        <w:spacing w:before="160" w:after="80"/>
      </w:pPr>
      <w:r>
        <w:rPr>
          <w:rFonts w:ascii="Times New Roman" w:hAnsi="Times New Roman" w:cs="Times New Roman"/>
          <w:b/>
          <w:sz w:val="24"/>
          <w:szCs w:val="24"/>
        </w:rPr>
        <w:t xml:space="preserve">2.6. Accuracy Assessment</w:t>
      </w:r>
    </w:p>
    <w:p>
      <w:pPr>
        <w:ind w:firstLine="709"/>
        <w:spacing w:line="240" w:lineRule="auto" w:after="0"/>
        <w:jc w:val="both"/>
      </w:pPr>
      <w:r>
        <w:rPr>
          <w:rFonts w:ascii="Times New Roman" w:hAnsi="Times New Roman" w:cs="Times New Roman"/>
          <w:sz w:val="24"/>
          <w:szCs w:val="24"/>
        </w:rPr>
        <w:t xml:space="preserve">Classification results were validated against 150 field sampling points using a confusion matrix. Key metrics: Overall Accuracy (OA), Cohen's Kappa coefficient (K), Pearson correlation coefficient (r), and Root Mean Square Error (RMSE).</w:t>
      </w:r>
    </w:p>
    <w:p>
      <w:pPr>
        <w:spacing w:before="160" w:after="80"/>
      </w:pPr>
      <w:r>
        <w:rPr>
          <w:rFonts w:ascii="Times New Roman" w:hAnsi="Times New Roman" w:cs="Times New Roman"/>
          <w:b/>
          <w:sz w:val="24"/>
          <w:szCs w:val="24"/>
        </w:rPr>
        <w:t xml:space="preserve">2.7. Software</w:t>
      </w:r>
    </w:p>
    <w:p>
      <w:pPr>
        <w:ind w:firstLine="709"/>
        <w:spacing w:line="240" w:lineRule="auto" w:after="0"/>
        <w:jc w:val="both"/>
      </w:pPr>
      <w:r>
        <w:rPr>
          <w:rFonts w:ascii="Times New Roman" w:hAnsi="Times New Roman" w:cs="Times New Roman"/>
          <w:sz w:val="24"/>
          <w:szCs w:val="24"/>
        </w:rPr>
        <w:t xml:space="preserve">All analyses were performed using: Google Earth Engine (JavaScript/Python API), QGIS 3.34 LTR, Python 3.10 (NumPy, SciPy, scikit-learn, GDAL), and R 4.3 (kendall, raster packages).</w:t>
      </w:r>
    </w:p>
    <w:p>
      <w:r>
        <w:t>────────────────────────────────────────────────</w:t>
      </w:r>
    </w:p>
    <w:p>
      <w:pPr>
        <w:spacing w:before="240" w:after="120"/>
      </w:pPr>
      <w:r>
        <w:rPr>
          <w:rFonts w:ascii="Times New Roman" w:hAnsi="Times New Roman" w:cs="Times New Roman"/>
          <w:b/>
          <w:sz w:val="24"/>
          <w:szCs w:val="24"/>
        </w:rPr>
        <w:t xml:space="preserve">3. RESULTS</w:t>
      </w:r>
    </w:p>
    <w:p>
      <w:pPr>
        <w:spacing w:before="160" w:after="80"/>
      </w:pPr>
      <w:r>
        <w:rPr>
          <w:rFonts w:ascii="Times New Roman" w:hAnsi="Times New Roman" w:cs="Times New Roman"/>
          <w:b/>
          <w:sz w:val="24"/>
          <w:szCs w:val="24"/>
        </w:rPr>
        <w:t xml:space="preserve">3.1. Soil Salinization Map and Analysis</w:t>
      </w:r>
    </w:p>
    <w:p>
      <w:pPr>
        <w:ind w:firstLine="709"/>
        <w:spacing w:line="240" w:lineRule="auto" w:after="0"/>
        <w:jc w:val="both"/>
      </w:pPr>
      <w:r>
        <w:rPr>
          <w:rFonts w:ascii="Times New Roman" w:hAnsi="Times New Roman" w:cs="Times New Roman"/>
          <w:sz w:val="24"/>
          <w:szCs w:val="24"/>
        </w:rPr>
        <w:t xml:space="preserve">A salinity map was produced from Sentinel-2 imagery (April–September 2023) using the NDSI index, combined with field data through IDW-2 interpolation.</w:t>
      </w:r>
    </w:p>
    <w:p>
      <w:pPr>
        <w:ind w:firstLine="709"/>
        <w:spacing w:line="240" w:lineRule="auto" w:after="0"/>
        <w:jc w:val="both"/>
      </w:pPr>
      <w:r>
        <w:rPr>
          <w:rFonts w:ascii="Times New Roman" w:hAnsi="Times New Roman" w:cs="Times New Roman"/>
          <w:sz w:val="24"/>
          <w:szCs w:val="24"/>
        </w:rPr>
        <w:t xml:space="preserve">Table 1. Distribution of irrigated lands by salinity class in Syrdarya Province (2023)</w:t>
      </w:r>
    </w:p>
    <w:p>
      <w:pPr>
        <w:ind w:left="360"/>
        <w:spacing w:line="220" w:lineRule="auto" w:after="0"/>
      </w:pPr>
      <w:r>
        <w:rPr>
          <w:rFonts w:ascii="Courier New" w:hAnsi="Courier New"/>
          <w:sz w:val="18"/>
          <w:szCs w:val="18"/>
        </w:rPr>
        <w:t xml:space="preserve">Salinity Class  |  NDSI Range  |  ECe (dS/m)  |  Area (ha)  |  Share (%)</w:t>
      </w:r>
    </w:p>
    <w:p>
      <w:pPr>
        <w:ind w:left="360"/>
        <w:spacing w:line="220" w:lineRule="auto" w:after="0"/>
      </w:pPr>
      <w:r>
        <w:rPr>
          <w:rFonts w:ascii="Courier New" w:hAnsi="Courier New"/>
          <w:sz w:val="18"/>
          <w:szCs w:val="18"/>
        </w:rPr>
        <w:t xml:space="preserve">Non-saline  |  &lt; 0.05  |  &lt; 2  |  107,800  |  49.0</w:t>
      </w:r>
    </w:p>
    <w:p>
      <w:pPr>
        <w:ind w:left="360"/>
        <w:spacing w:line="220" w:lineRule="auto" w:after="0"/>
      </w:pPr>
      <w:r>
        <w:rPr>
          <w:rFonts w:ascii="Courier New" w:hAnsi="Courier New"/>
          <w:sz w:val="18"/>
          <w:szCs w:val="18"/>
        </w:rPr>
        <w:t xml:space="preserve">Slightly saline  |  0.05–0.15  |  2–4  |  56,200  |  25.5</w:t>
      </w:r>
    </w:p>
    <w:p>
      <w:pPr>
        <w:ind w:left="360"/>
        <w:spacing w:line="220" w:lineRule="auto" w:after="0"/>
      </w:pPr>
      <w:r>
        <w:rPr>
          <w:rFonts w:ascii="Courier New" w:hAnsi="Courier New"/>
          <w:sz w:val="18"/>
          <w:szCs w:val="18"/>
        </w:rPr>
        <w:t xml:space="preserve">Moderately saline  |  0.15–0.25  |  4–8  |  33,400  |  15.2</w:t>
      </w:r>
    </w:p>
    <w:p>
      <w:pPr>
        <w:ind w:left="360"/>
        <w:spacing w:line="220" w:lineRule="auto" w:after="0"/>
      </w:pPr>
      <w:r>
        <w:rPr>
          <w:rFonts w:ascii="Courier New" w:hAnsi="Courier New"/>
          <w:sz w:val="18"/>
          <w:szCs w:val="18"/>
        </w:rPr>
        <w:t xml:space="preserve">Strongly saline  |  0.25–0.35  |  8–16  |  17,600  |  8.0</w:t>
      </w:r>
    </w:p>
    <w:p>
      <w:pPr>
        <w:ind w:left="360"/>
        <w:spacing w:line="220" w:lineRule="auto" w:after="0"/>
      </w:pPr>
      <w:r>
        <w:rPr>
          <w:rFonts w:ascii="Courier New" w:hAnsi="Courier New"/>
          <w:sz w:val="18"/>
          <w:szCs w:val="18"/>
        </w:rPr>
        <w:t xml:space="preserve">Very strongly saline  |  &gt; 0.35  |  &gt; 16  |  5,000  |  2.3</w:t>
      </w:r>
    </w:p>
    <w:p>
      <w:pPr>
        <w:ind w:left="360"/>
        <w:spacing w:line="220" w:lineRule="auto" w:after="0"/>
      </w:pPr>
      <w:r>
        <w:rPr>
          <w:rFonts w:ascii="Courier New" w:hAnsi="Courier New"/>
          <w:sz w:val="18"/>
          <w:szCs w:val="18"/>
        </w:rPr>
        <w:t xml:space="preserve">**Total**  |  **220,000**  |  **100**</w:t>
      </w:r>
    </w:p>
    <w:p>
      <w:pPr>
        <w:ind w:firstLine="709"/>
        <w:spacing w:line="240" w:lineRule="auto" w:after="0"/>
        <w:jc w:val="both"/>
      </w:pPr>
      <w:r>
        <w:rPr>
          <w:rFonts w:ascii="Times New Roman" w:hAnsi="Times New Roman" w:cs="Times New Roman"/>
          <w:sz w:val="24"/>
          <w:szCs w:val="24"/>
        </w:rPr>
        <w:t xml:space="preserve">Results showed that 51.0% (112,200 ha) of irrigated lands are affected by salinization to varying degrees. The most severe salinization was recorded along the Syrdarya River and irrigation canals. The correlation between NDSI and laboratory EC measurements was r = 0.82 (R² = 0.67, RMSE = 1.31 dS/m, p &lt; 0.001). This closely matches the r = 0.84 reported by Mirsagatov et al. (2021) for the Fergana Valley.</w:t>
      </w:r>
    </w:p>
    <w:p>
      <w:pPr>
        <w:spacing w:before="160" w:after="80"/>
      </w:pPr>
      <w:r>
        <w:rPr>
          <w:rFonts w:ascii="Times New Roman" w:hAnsi="Times New Roman" w:cs="Times New Roman"/>
          <w:b/>
          <w:sz w:val="24"/>
          <w:szCs w:val="24"/>
        </w:rPr>
        <w:t xml:space="preserve">3.2. Waterlogging Map and Analysis</w:t>
      </w:r>
    </w:p>
    <w:p>
      <w:pPr>
        <w:ind w:firstLine="709"/>
        <w:spacing w:line="240" w:lineRule="auto" w:after="0"/>
        <w:jc w:val="both"/>
      </w:pPr>
      <w:r>
        <w:rPr>
          <w:rFonts w:ascii="Times New Roman" w:hAnsi="Times New Roman" w:cs="Times New Roman"/>
          <w:sz w:val="24"/>
          <w:szCs w:val="24"/>
        </w:rPr>
        <w:t xml:space="preserve">A waterlogging map was produced by combining NDWI and observation-well groundwater data.</w:t>
      </w:r>
    </w:p>
    <w:p>
      <w:pPr>
        <w:ind w:firstLine="709"/>
        <w:spacing w:line="240" w:lineRule="auto" w:after="0"/>
        <w:jc w:val="both"/>
      </w:pPr>
      <w:r>
        <w:rPr>
          <w:rFonts w:ascii="Times New Roman" w:hAnsi="Times New Roman" w:cs="Times New Roman"/>
          <w:sz w:val="24"/>
          <w:szCs w:val="24"/>
        </w:rPr>
        <w:t xml:space="preserve">Table 2. Distribution of irrigated lands by waterlogging class (2023)</w:t>
      </w:r>
    </w:p>
    <w:p>
      <w:pPr>
        <w:ind w:left="360"/>
        <w:spacing w:line="220" w:lineRule="auto" w:after="0"/>
      </w:pPr>
      <w:r>
        <w:rPr>
          <w:rFonts w:ascii="Courier New" w:hAnsi="Courier New"/>
          <w:sz w:val="18"/>
          <w:szCs w:val="18"/>
        </w:rPr>
        <w:t xml:space="preserve">Class  |  Groundwater Depth  |  Area (ha)  |  Share (%)</w:t>
      </w:r>
    </w:p>
    <w:p>
      <w:pPr>
        <w:ind w:left="360"/>
        <w:spacing w:line="220" w:lineRule="auto" w:after="0"/>
      </w:pPr>
      <w:r>
        <w:rPr>
          <w:rFonts w:ascii="Courier New" w:hAnsi="Courier New"/>
          <w:sz w:val="18"/>
          <w:szCs w:val="18"/>
        </w:rPr>
        <w:t xml:space="preserve">Not waterlogged  |  &gt; 2.0 m  |  134,200  |  61.0</w:t>
      </w:r>
    </w:p>
    <w:p>
      <w:pPr>
        <w:ind w:left="360"/>
        <w:spacing w:line="220" w:lineRule="auto" w:after="0"/>
      </w:pPr>
      <w:r>
        <w:rPr>
          <w:rFonts w:ascii="Courier New" w:hAnsi="Courier New"/>
          <w:sz w:val="18"/>
          <w:szCs w:val="18"/>
        </w:rPr>
        <w:t xml:space="preserve">At risk  |  1.5–2.0 m  |  46,200  |  21.0</w:t>
      </w:r>
    </w:p>
    <w:p>
      <w:pPr>
        <w:ind w:left="360"/>
        <w:spacing w:line="220" w:lineRule="auto" w:after="0"/>
      </w:pPr>
      <w:r>
        <w:rPr>
          <w:rFonts w:ascii="Courier New" w:hAnsi="Courier New"/>
          <w:sz w:val="18"/>
          <w:szCs w:val="18"/>
        </w:rPr>
        <w:t xml:space="preserve">Moderately waterlogged  |  1.0–1.5 m  |  26,400  |  12.0</w:t>
      </w:r>
    </w:p>
    <w:p>
      <w:pPr>
        <w:ind w:left="360"/>
        <w:spacing w:line="220" w:lineRule="auto" w:after="0"/>
      </w:pPr>
      <w:r>
        <w:rPr>
          <w:rFonts w:ascii="Courier New" w:hAnsi="Courier New"/>
          <w:sz w:val="18"/>
          <w:szCs w:val="18"/>
        </w:rPr>
        <w:t xml:space="preserve">Strongly waterlogged  |  0.5–1.0 m  |  11,000  |  5.0</w:t>
      </w:r>
    </w:p>
    <w:p>
      <w:pPr>
        <w:ind w:left="360"/>
        <w:spacing w:line="220" w:lineRule="auto" w:after="0"/>
      </w:pPr>
      <w:r>
        <w:rPr>
          <w:rFonts w:ascii="Courier New" w:hAnsi="Courier New"/>
          <w:sz w:val="18"/>
          <w:szCs w:val="18"/>
        </w:rPr>
        <w:t xml:space="preserve">Very strongly waterlogged  |  &lt; 0.5 m  |  2,200  |  1.0</w:t>
      </w:r>
    </w:p>
    <w:p>
      <w:pPr>
        <w:ind w:left="360"/>
        <w:spacing w:line="220" w:lineRule="auto" w:after="0"/>
      </w:pPr>
      <w:r>
        <w:rPr>
          <w:rFonts w:ascii="Courier New" w:hAnsi="Courier New"/>
          <w:sz w:val="18"/>
          <w:szCs w:val="18"/>
        </w:rPr>
        <w:t xml:space="preserve">**Total**  |  **220,000**  |  **100**</w:t>
      </w:r>
    </w:p>
    <w:p>
      <w:pPr>
        <w:ind w:firstLine="709"/>
        <w:spacing w:line="240" w:lineRule="auto" w:after="0"/>
        <w:jc w:val="both"/>
      </w:pPr>
      <w:r>
        <w:rPr>
          <w:rFonts w:ascii="Times New Roman" w:hAnsi="Times New Roman" w:cs="Times New Roman"/>
          <w:sz w:val="24"/>
          <w:szCs w:val="24"/>
        </w:rPr>
        <w:t xml:space="preserve">39.0% (85,800 ha) of irrigated lands were found to be under waterlogging influence. A strong inverse correlation was identified between groundwater depth and salinity level (r = −0.76, p &lt; 0.001), indicating that capillary rise in areas with shallow groundwater intensifies soil salinization — consistent with findings by Yuldashev et al. (2021) in the same province.</w:t>
      </w:r>
    </w:p>
    <w:p>
      <w:pPr>
        <w:spacing w:before="160" w:after="80"/>
      </w:pPr>
      <w:r>
        <w:rPr>
          <w:rFonts w:ascii="Times New Roman" w:hAnsi="Times New Roman" w:cs="Times New Roman"/>
          <w:b/>
          <w:sz w:val="24"/>
          <w:szCs w:val="24"/>
        </w:rPr>
        <w:t xml:space="preserve">3.3. Long-Term Vegetation Dynamics</w:t>
      </w:r>
    </w:p>
    <w:p>
      <w:pPr>
        <w:ind w:firstLine="709"/>
        <w:spacing w:line="240" w:lineRule="auto" w:after="0"/>
        <w:jc w:val="both"/>
      </w:pPr>
      <w:r>
        <w:rPr>
          <w:rFonts w:ascii="Times New Roman" w:hAnsi="Times New Roman" w:cs="Times New Roman"/>
          <w:sz w:val="24"/>
          <w:szCs w:val="24"/>
        </w:rPr>
        <w:t xml:space="preserve">A NDVI time-series analysis was conducted using MODIS MOD13Q1 data (250 m, 16-day composite) for 2000–2024.</w:t>
      </w:r>
    </w:p>
    <w:p>
      <w:pPr>
        <w:ind w:firstLine="709"/>
        <w:spacing w:line="240" w:lineRule="auto" w:after="0"/>
        <w:jc w:val="both"/>
      </w:pPr>
      <w:r>
        <w:rPr>
          <w:rFonts w:ascii="Times New Roman" w:hAnsi="Times New Roman" w:cs="Times New Roman"/>
          <w:sz w:val="24"/>
          <w:szCs w:val="24"/>
        </w:rPr>
        <w:t xml:space="preserve">Table 3. Annual mean NDVI values (growing season: April–September)</w:t>
      </w:r>
    </w:p>
    <w:p>
      <w:pPr>
        <w:ind w:left="360"/>
        <w:spacing w:line="220" w:lineRule="auto" w:after="0"/>
      </w:pPr>
      <w:r>
        <w:rPr>
          <w:rFonts w:ascii="Courier New" w:hAnsi="Courier New"/>
          <w:sz w:val="18"/>
          <w:szCs w:val="18"/>
        </w:rPr>
        <w:t xml:space="preserve">Year  |  Mean NDVI  |  Max NDVI  |  Min NDVI</w:t>
      </w:r>
    </w:p>
    <w:p>
      <w:pPr>
        <w:ind w:left="360"/>
        <w:spacing w:line="220" w:lineRule="auto" w:after="0"/>
      </w:pPr>
      <w:r>
        <w:rPr>
          <w:rFonts w:ascii="Courier New" w:hAnsi="Courier New"/>
          <w:sz w:val="18"/>
          <w:szCs w:val="18"/>
        </w:rPr>
        <w:t xml:space="preserve">2000  |  0.398  |  0.651  |  0.121</w:t>
      </w:r>
    </w:p>
    <w:p>
      <w:pPr>
        <w:ind w:left="360"/>
        <w:spacing w:line="220" w:lineRule="auto" w:after="0"/>
      </w:pPr>
      <w:r>
        <w:rPr>
          <w:rFonts w:ascii="Courier New" w:hAnsi="Courier New"/>
          <w:sz w:val="18"/>
          <w:szCs w:val="18"/>
        </w:rPr>
        <w:t xml:space="preserve">2005  |  0.384  |  0.637  |  0.114</w:t>
      </w:r>
    </w:p>
    <w:p>
      <w:pPr>
        <w:ind w:left="360"/>
        <w:spacing w:line="220" w:lineRule="auto" w:after="0"/>
      </w:pPr>
      <w:r>
        <w:rPr>
          <w:rFonts w:ascii="Courier New" w:hAnsi="Courier New"/>
          <w:sz w:val="18"/>
          <w:szCs w:val="18"/>
        </w:rPr>
        <w:t xml:space="preserve">2010  |  0.371  |  0.622  |  0.106</w:t>
      </w:r>
    </w:p>
    <w:p>
      <w:pPr>
        <w:ind w:left="360"/>
        <w:spacing w:line="220" w:lineRule="auto" w:after="0"/>
      </w:pPr>
      <w:r>
        <w:rPr>
          <w:rFonts w:ascii="Courier New" w:hAnsi="Courier New"/>
          <w:sz w:val="18"/>
          <w:szCs w:val="18"/>
        </w:rPr>
        <w:t xml:space="preserve">2015  |  0.356  |  0.608  |  0.095</w:t>
      </w:r>
    </w:p>
    <w:p>
      <w:pPr>
        <w:ind w:left="360"/>
        <w:spacing w:line="220" w:lineRule="auto" w:after="0"/>
      </w:pPr>
      <w:r>
        <w:rPr>
          <w:rFonts w:ascii="Courier New" w:hAnsi="Courier New"/>
          <w:sz w:val="18"/>
          <w:szCs w:val="18"/>
        </w:rPr>
        <w:t xml:space="preserve">2020  |  0.341  |  0.591  |  0.086</w:t>
      </w:r>
    </w:p>
    <w:p>
      <w:pPr>
        <w:ind w:left="360"/>
        <w:spacing w:line="220" w:lineRule="auto" w:after="0"/>
      </w:pPr>
      <w:r>
        <w:rPr>
          <w:rFonts w:ascii="Courier New" w:hAnsi="Courier New"/>
          <w:sz w:val="18"/>
          <w:szCs w:val="18"/>
        </w:rPr>
        <w:t xml:space="preserve">2024  |  0.333  |  0.581  |  0.079</w:t>
      </w:r>
    </w:p>
    <w:p>
      <w:pPr>
        <w:ind w:firstLine="709"/>
        <w:spacing w:line="240" w:lineRule="auto" w:after="0"/>
        <w:jc w:val="both"/>
      </w:pPr>
      <w:r>
        <w:rPr>
          <w:rFonts w:ascii="Times New Roman" w:hAnsi="Times New Roman" w:cs="Times New Roman"/>
          <w:sz w:val="24"/>
          <w:szCs w:val="24"/>
        </w:rPr>
        <w:t xml:space="preserve">Mann-Kendall test results: S = −172, p = 0.004 — a statistically significant declining trend was confirmed. Theil-Sen slope: −0.0027 NDVI/year. Mean NDVI declined by 16.2% over 24 years (from 0.398 to 0.333).</w:t>
      </w:r>
    </w:p>
    <w:p>
      <w:pPr>
        <w:ind w:firstLine="709"/>
        <w:spacing w:line="240" w:lineRule="auto" w:after="0"/>
        <w:jc w:val="both"/>
      </w:pPr>
      <w:r>
        <w:rPr>
          <w:rFonts w:ascii="Times New Roman" w:hAnsi="Times New Roman" w:cs="Times New Roman"/>
          <w:sz w:val="24"/>
          <w:szCs w:val="24"/>
        </w:rPr>
        <w:t xml:space="preserve">Table 4. Vegetation degradation zones by NDVI decline rate</w:t>
      </w:r>
    </w:p>
    <w:p>
      <w:pPr>
        <w:ind w:left="360"/>
        <w:spacing w:line="220" w:lineRule="auto" w:after="0"/>
      </w:pPr>
      <w:r>
        <w:rPr>
          <w:rFonts w:ascii="Courier New" w:hAnsi="Courier New"/>
          <w:sz w:val="18"/>
          <w:szCs w:val="18"/>
        </w:rPr>
        <w:t xml:space="preserve">Zone  |  Annual Change  |  Area (ha)  |  Share (%)</w:t>
      </w:r>
    </w:p>
    <w:p>
      <w:pPr>
        <w:ind w:left="360"/>
        <w:spacing w:line="220" w:lineRule="auto" w:after="0"/>
      </w:pPr>
      <w:r>
        <w:rPr>
          <w:rFonts w:ascii="Courier New" w:hAnsi="Courier New"/>
          <w:sz w:val="18"/>
          <w:szCs w:val="18"/>
        </w:rPr>
        <w:t xml:space="preserve">Stable — good condition  |  &gt; −0.002/year  |  92,400  |  42.0</w:t>
      </w:r>
    </w:p>
    <w:p>
      <w:pPr>
        <w:ind w:left="360"/>
        <w:spacing w:line="220" w:lineRule="auto" w:after="0"/>
      </w:pPr>
      <w:r>
        <w:rPr>
          <w:rFonts w:ascii="Courier New" w:hAnsi="Courier New"/>
          <w:sz w:val="18"/>
          <w:szCs w:val="18"/>
        </w:rPr>
        <w:t xml:space="preserve">Slight degradation  |  −0.002 to −0.005/year  |  64,900  |  29.5</w:t>
      </w:r>
    </w:p>
    <w:p>
      <w:pPr>
        <w:ind w:left="360"/>
        <w:spacing w:line="220" w:lineRule="auto" w:after="0"/>
      </w:pPr>
      <w:r>
        <w:rPr>
          <w:rFonts w:ascii="Courier New" w:hAnsi="Courier New"/>
          <w:sz w:val="18"/>
          <w:szCs w:val="18"/>
        </w:rPr>
        <w:t xml:space="preserve">Moderate degradation  |  −0.005 to −0.010/year  |  42,900  |  19.5</w:t>
      </w:r>
    </w:p>
    <w:p>
      <w:pPr>
        <w:ind w:left="360"/>
        <w:spacing w:line="220" w:lineRule="auto" w:after="0"/>
      </w:pPr>
      <w:r>
        <w:rPr>
          <w:rFonts w:ascii="Courier New" w:hAnsi="Courier New"/>
          <w:sz w:val="18"/>
          <w:szCs w:val="18"/>
        </w:rPr>
        <w:t xml:space="preserve">Severe degradation  |  &lt; −0.010/year  |  19,800  |  9.0</w:t>
      </w:r>
    </w:p>
    <w:p>
      <w:pPr>
        <w:ind w:left="360"/>
        <w:spacing w:line="220" w:lineRule="auto" w:after="0"/>
      </w:pPr>
      <w:r>
        <w:rPr>
          <w:rFonts w:ascii="Courier New" w:hAnsi="Courier New"/>
          <w:sz w:val="18"/>
          <w:szCs w:val="18"/>
        </w:rPr>
        <w:t xml:space="preserve">**Total**  |  **220,000**  |  **100**</w:t>
      </w:r>
    </w:p>
    <w:p>
      <w:pPr>
        <w:ind w:firstLine="709"/>
        <w:spacing w:line="240" w:lineRule="auto" w:after="0"/>
        <w:jc w:val="both"/>
      </w:pPr>
      <w:r>
        <w:rPr>
          <w:rFonts w:ascii="Times New Roman" w:hAnsi="Times New Roman" w:cs="Times New Roman"/>
          <w:sz w:val="24"/>
          <w:szCs w:val="24"/>
        </w:rPr>
        <w:t xml:space="preserve">58.0% (127,600 ha) of irrigated lands showed vegetation degradation.</w:t>
      </w:r>
    </w:p>
    <w:p>
      <w:pPr>
        <w:spacing w:before="160" w:after="80"/>
      </w:pPr>
      <w:r>
        <w:rPr>
          <w:rFonts w:ascii="Times New Roman" w:hAnsi="Times New Roman" w:cs="Times New Roman"/>
          <w:b/>
          <w:sz w:val="24"/>
          <w:szCs w:val="24"/>
        </w:rPr>
        <w:t xml:space="preserve">3.4. Random Forest Classification Results</w:t>
      </w:r>
    </w:p>
    <w:p>
      <w:pPr>
        <w:ind w:firstLine="709"/>
        <w:spacing w:line="240" w:lineRule="auto" w:after="0"/>
        <w:jc w:val="both"/>
      </w:pPr>
      <w:r>
        <w:rPr>
          <w:rFonts w:ascii="Times New Roman" w:hAnsi="Times New Roman" w:cs="Times New Roman"/>
          <w:sz w:val="24"/>
          <w:szCs w:val="24"/>
        </w:rPr>
        <w:t xml:space="preserve">Table 5. Classification model accuracy (k = 5 cross-validation)</w:t>
      </w:r>
    </w:p>
    <w:p>
      <w:pPr>
        <w:ind w:left="360"/>
        <w:spacing w:line="220" w:lineRule="auto" w:after="0"/>
      </w:pPr>
      <w:r>
        <w:rPr>
          <w:rFonts w:ascii="Courier New" w:hAnsi="Courier New"/>
          <w:sz w:val="18"/>
          <w:szCs w:val="18"/>
        </w:rPr>
        <w:t xml:space="preserve">Degradation Class  |  Precision  |  Recall  |  F1-Score</w:t>
      </w:r>
    </w:p>
    <w:p>
      <w:pPr>
        <w:ind w:left="360"/>
        <w:spacing w:line="220" w:lineRule="auto" w:after="0"/>
      </w:pPr>
      <w:r>
        <w:rPr>
          <w:rFonts w:ascii="Courier New" w:hAnsi="Courier New"/>
          <w:sz w:val="18"/>
          <w:szCs w:val="18"/>
        </w:rPr>
        <w:t xml:space="preserve">None (0)  |  0.91  |  0.93  |  0.92</w:t>
      </w:r>
    </w:p>
    <w:p>
      <w:pPr>
        <w:ind w:left="360"/>
        <w:spacing w:line="220" w:lineRule="auto" w:after="0"/>
      </w:pPr>
      <w:r>
        <w:rPr>
          <w:rFonts w:ascii="Courier New" w:hAnsi="Courier New"/>
          <w:sz w:val="18"/>
          <w:szCs w:val="18"/>
        </w:rPr>
        <w:t xml:space="preserve">Slight (1)  |  0.85  |  0.83  |  0.84</w:t>
      </w:r>
    </w:p>
    <w:p>
      <w:pPr>
        <w:ind w:left="360"/>
        <w:spacing w:line="220" w:lineRule="auto" w:after="0"/>
      </w:pPr>
      <w:r>
        <w:rPr>
          <w:rFonts w:ascii="Courier New" w:hAnsi="Courier New"/>
          <w:sz w:val="18"/>
          <w:szCs w:val="18"/>
        </w:rPr>
        <w:t xml:space="preserve">Moderate (2)  |  0.82  |  0.80  |  0.81</w:t>
      </w:r>
    </w:p>
    <w:p>
      <w:pPr>
        <w:ind w:left="360"/>
        <w:spacing w:line="220" w:lineRule="auto" w:after="0"/>
      </w:pPr>
      <w:r>
        <w:rPr>
          <w:rFonts w:ascii="Courier New" w:hAnsi="Courier New"/>
          <w:sz w:val="18"/>
          <w:szCs w:val="18"/>
        </w:rPr>
        <w:t xml:space="preserve">Severe (3)  |  0.87  |  0.85  |  0.86</w:t>
      </w:r>
    </w:p>
    <w:p>
      <w:pPr>
        <w:ind w:left="360"/>
        <w:spacing w:line="220" w:lineRule="auto" w:after="0"/>
      </w:pPr>
      <w:r>
        <w:rPr>
          <w:rFonts w:ascii="Courier New" w:hAnsi="Courier New"/>
          <w:sz w:val="18"/>
          <w:szCs w:val="18"/>
        </w:rPr>
        <w:t xml:space="preserve">Very severe (4)  |  0.90  |  0.88  |  0.89</w:t>
      </w:r>
    </w:p>
    <w:p>
      <w:pPr>
        <w:ind w:left="360"/>
        <w:spacing w:line="220" w:lineRule="auto" w:after="0"/>
      </w:pPr>
      <w:r>
        <w:rPr>
          <w:rFonts w:ascii="Courier New" w:hAnsi="Courier New"/>
          <w:sz w:val="18"/>
          <w:szCs w:val="18"/>
        </w:rPr>
        <w:t xml:space="preserve">**Mean**  |  **0.87**  |  **0.86**  |  **0.87**</w:t>
      </w:r>
    </w:p>
    <w:p>
      <w:pPr>
        <w:ind w:firstLine="709"/>
        <w:spacing w:line="240" w:lineRule="auto" w:after="0"/>
        <w:jc w:val="both"/>
      </w:pPr>
      <w:r>
        <w:rPr>
          <w:rFonts w:ascii="Times New Roman" w:hAnsi="Times New Roman" w:cs="Times New Roman"/>
          <w:sz w:val="24"/>
          <w:szCs w:val="24"/>
        </w:rPr>
        <w:t xml:space="preserve">Overall Accuracy: OA = 87.8%, Kappa coefficient: K = 0.85 — both above the accepted thresholds (OA ≥ 85%, K ≥ 0.80), confirming the model's reliability for Syrdarya Province conditions.</w:t>
      </w:r>
    </w:p>
    <w:p>
      <w:pPr>
        <w:spacing w:before="160" w:after="80"/>
      </w:pPr>
      <w:r>
        <w:rPr>
          <w:rFonts w:ascii="Times New Roman" w:hAnsi="Times New Roman" w:cs="Times New Roman"/>
          <w:b/>
          <w:sz w:val="24"/>
          <w:szCs w:val="24"/>
        </w:rPr>
        <w:t xml:space="preserve">3.5. LDN Assessment</w:t>
      </w:r>
    </w:p>
    <w:p>
      <w:pPr>
        <w:ind w:firstLine="709"/>
        <w:spacing w:line="240" w:lineRule="auto" w:after="0"/>
        <w:jc w:val="both"/>
      </w:pPr>
      <w:r>
        <w:rPr>
          <w:rFonts w:ascii="Times New Roman" w:hAnsi="Times New Roman" w:cs="Times New Roman"/>
          <w:sz w:val="24"/>
          <w:szCs w:val="24"/>
        </w:rPr>
        <w:t xml:space="preserve">Table 6. Assessment results by UNCCD LDN sub-indicators</w:t>
      </w:r>
    </w:p>
    <w:p>
      <w:pPr>
        <w:ind w:left="360"/>
        <w:spacing w:line="220" w:lineRule="auto" w:after="0"/>
      </w:pPr>
      <w:r>
        <w:rPr>
          <w:rFonts w:ascii="Courier New" w:hAnsi="Courier New"/>
          <w:sz w:val="18"/>
          <w:szCs w:val="18"/>
        </w:rPr>
        <w:t xml:space="preserve">LDN Sub-indicator  |  2000–2015 Change  |  2015–2024 Change  |  Overall Trend</w:t>
      </w:r>
    </w:p>
    <w:p>
      <w:pPr>
        <w:ind w:left="360"/>
        <w:spacing w:line="220" w:lineRule="auto" w:after="0"/>
      </w:pPr>
      <w:r>
        <w:rPr>
          <w:rFonts w:ascii="Courier New" w:hAnsi="Courier New"/>
          <w:sz w:val="18"/>
          <w:szCs w:val="18"/>
        </w:rPr>
        <w:t xml:space="preserve">Land Cover Change  |  −3.1%  |  −4.8%  |  **Declined**</w:t>
      </w:r>
    </w:p>
    <w:p>
      <w:pPr>
        <w:ind w:left="360"/>
        <w:spacing w:line="220" w:lineRule="auto" w:after="0"/>
      </w:pPr>
      <w:r>
        <w:rPr>
          <w:rFonts w:ascii="Courier New" w:hAnsi="Courier New"/>
          <w:sz w:val="18"/>
          <w:szCs w:val="18"/>
        </w:rPr>
        <w:t xml:space="preserve">Land Productivity Dynamics (LPD)  |  −7.4%  |  −6.9%  |  **Declined**</w:t>
      </w:r>
    </w:p>
    <w:p>
      <w:pPr>
        <w:ind w:left="360"/>
        <w:spacing w:line="220" w:lineRule="auto" w:after="0"/>
      </w:pPr>
      <w:r>
        <w:rPr>
          <w:rFonts w:ascii="Courier New" w:hAnsi="Courier New"/>
          <w:sz w:val="18"/>
          <w:szCs w:val="18"/>
        </w:rPr>
        <w:t xml:space="preserve">Soil Organic Carbon (SOC)  |  −3.8%  |  −3.5%  |  **Declined**</w:t>
      </w:r>
    </w:p>
    <w:p>
      <w:pPr>
        <w:ind w:firstLine="709"/>
        <w:spacing w:line="240" w:lineRule="auto" w:after="0"/>
        <w:jc w:val="both"/>
      </w:pPr>
      <w:r>
        <w:rPr>
          <w:rFonts w:ascii="Times New Roman" w:hAnsi="Times New Roman" w:cs="Times New Roman"/>
          <w:sz w:val="24"/>
          <w:szCs w:val="24"/>
        </w:rPr>
        <w:t xml:space="preserve">Applying the "one-out-all-out" principle, since all three sub-indicators deteriorated, the irrigated lands of Syrdarya Province were assessed as not achieving the LDN target.</w:t>
      </w:r>
    </w:p>
    <w:p>
      <w:r>
        <w:t>────────────────────────────────────────────────</w:t>
      </w:r>
    </w:p>
    <w:p>
      <w:pPr>
        <w:spacing w:before="240" w:after="120"/>
      </w:pPr>
      <w:r>
        <w:rPr>
          <w:rFonts w:ascii="Times New Roman" w:hAnsi="Times New Roman" w:cs="Times New Roman"/>
          <w:b/>
          <w:sz w:val="24"/>
          <w:szCs w:val="24"/>
        </w:rPr>
        <w:t xml:space="preserve">4. DISCUSSION</w:t>
      </w:r>
    </w:p>
    <w:p>
      <w:pPr>
        <w:spacing w:before="160" w:after="80"/>
      </w:pPr>
      <w:r>
        <w:rPr>
          <w:rFonts w:ascii="Times New Roman" w:hAnsi="Times New Roman" w:cs="Times New Roman"/>
          <w:b/>
          <w:sz w:val="24"/>
          <w:szCs w:val="24"/>
        </w:rPr>
        <w:t xml:space="preserve">4.1. Comparison of Salinization Results with Existing Literature</w:t>
      </w:r>
    </w:p>
    <w:p>
      <w:pPr>
        <w:ind w:firstLine="709"/>
        <w:spacing w:line="240" w:lineRule="auto" w:after="0"/>
        <w:jc w:val="both"/>
      </w:pPr>
      <w:r>
        <w:rPr>
          <w:rFonts w:ascii="Times New Roman" w:hAnsi="Times New Roman" w:cs="Times New Roman"/>
          <w:sz w:val="24"/>
          <w:szCs w:val="24"/>
        </w:rPr>
        <w:t xml:space="preserve">This study found that 51.0% of irrigated lands in Syrdarya Province are salinized — consistent with existing literature. Conrad et al. (2012) reported similar levels in the irrigated lowlands of Uzbekistan; the salinity map produced by Yuldashev et al. (2021) using IDW interpolation in the same province closely aligns with our findings. IWMI (2017) reports 60% salinization across Uzbekistan as a whole, and the somewhat lower figure of 51% for Syrdarya Province is reasonable given that the Mirzachul steppe was relatively recently brought under cultivation. The NDSI–EC correlation of r = 0.82 is nearly identical to the r = 0.84 obtained by Mirsagatov et al. (2021) in the Fergana Valley, confirming that NDSI is a universal and reliable indicator for Uzbekistan's soils.</w:t>
      </w:r>
    </w:p>
    <w:p>
      <w:pPr>
        <w:spacing w:before="160" w:after="80"/>
      </w:pPr>
      <w:r>
        <w:rPr>
          <w:rFonts w:ascii="Times New Roman" w:hAnsi="Times New Roman" w:cs="Times New Roman"/>
          <w:b/>
          <w:sz w:val="24"/>
          <w:szCs w:val="24"/>
        </w:rPr>
        <w:t xml:space="preserve">4.2. Waterlogging and Groundwater</w:t>
      </w:r>
    </w:p>
    <w:p>
      <w:pPr>
        <w:ind w:firstLine="709"/>
        <w:spacing w:line="240" w:lineRule="auto" w:after="0"/>
        <w:jc w:val="both"/>
      </w:pPr>
      <w:r>
        <w:rPr>
          <w:rFonts w:ascii="Times New Roman" w:hAnsi="Times New Roman" w:cs="Times New Roman"/>
          <w:sz w:val="24"/>
          <w:szCs w:val="24"/>
        </w:rPr>
        <w:t xml:space="preserve">The inverse correlation of r = −0.76 between groundwater depth and salinity confirms the classical capillary rise mechanism characteristic of the Aral Sea Basin (Qadir et al., 2014). Canal seepage is a primary driver of groundwater rise and consequent salinization in canal-adjacent zones. This underlines the urgent need for drainage modernization — a conclusion further supported by the World Bank's 2025 approval of a USD 200 million credit for irrigation infrastructure rehabilitation in Uzbekistan (World Bank, 2025).</w:t>
      </w:r>
    </w:p>
    <w:p>
      <w:pPr>
        <w:spacing w:before="160" w:after="80"/>
      </w:pPr>
      <w:r>
        <w:rPr>
          <w:rFonts w:ascii="Times New Roman" w:hAnsi="Times New Roman" w:cs="Times New Roman"/>
          <w:b/>
          <w:sz w:val="24"/>
          <w:szCs w:val="24"/>
        </w:rPr>
        <w:t xml:space="preserve">4.3. NDVI Dynamics and Climate Change</w:t>
      </w:r>
    </w:p>
    <w:p>
      <w:pPr>
        <w:ind w:firstLine="709"/>
        <w:spacing w:line="240" w:lineRule="auto" w:after="0"/>
        <w:jc w:val="both"/>
      </w:pPr>
      <w:r>
        <w:rPr>
          <w:rFonts w:ascii="Times New Roman" w:hAnsi="Times New Roman" w:cs="Times New Roman"/>
          <w:sz w:val="24"/>
          <w:szCs w:val="24"/>
        </w:rPr>
        <w:t xml:space="preserve">The 16.2% decline in mean NDVI over 24 years reflects both anthropogenic and climatic drivers. With annual precipitation of only 200–280 mm, agriculture in Syrdarya Province is entirely dependent on irrigation; reductions in available irrigation water directly suppress NDVI. Hamidov et al. (2016) demonstrated significant climate-driven groundwater impacts in the Amu Darya basin — analogous trends are evident in Syrdarya Province.</w:t>
      </w:r>
    </w:p>
    <w:p>
      <w:pPr>
        <w:spacing w:before="160" w:after="80"/>
      </w:pPr>
      <w:r>
        <w:rPr>
          <w:rFonts w:ascii="Times New Roman" w:hAnsi="Times New Roman" w:cs="Times New Roman"/>
          <w:b/>
          <w:sz w:val="24"/>
          <w:szCs w:val="24"/>
        </w:rPr>
        <w:t xml:space="preserve">4.4. Strengths and Limitations of the Random Forest Model</w:t>
      </w:r>
    </w:p>
    <w:p>
      <w:pPr>
        <w:ind w:firstLine="709"/>
        <w:spacing w:line="240" w:lineRule="auto" w:after="0"/>
        <w:jc w:val="both"/>
      </w:pPr>
      <w:r>
        <w:rPr>
          <w:rFonts w:ascii="Times New Roman" w:hAnsi="Times New Roman" w:cs="Times New Roman"/>
          <w:sz w:val="24"/>
          <w:szCs w:val="24"/>
        </w:rPr>
        <w:t xml:space="preserve">The RF model achieved 87.8% accuracy in Syrdarya Province — higher than the logistic regression approach employed by Conrad et al. (2012). Its key advantage is the capacity to capture nonlinear relationships and integrate multivariate inputs. However, three limitations should be noted: (1) sufficient field training data are required; (2) spatial resolution of 10 m may reduce accuracy for parcels smaller than 0.1 ha; and (3) seasonal variation necessitates periodic model retraining.</w:t>
      </w:r>
    </w:p>
    <w:p>
      <w:pPr>
        <w:spacing w:before="160" w:after="80"/>
      </w:pPr>
      <w:r>
        <w:rPr>
          <w:rFonts w:ascii="Times New Roman" w:hAnsi="Times New Roman" w:cs="Times New Roman"/>
          <w:b/>
          <w:sz w:val="24"/>
          <w:szCs w:val="24"/>
        </w:rPr>
        <w:t xml:space="preserve">4.5. Significance of the Proposed Monitoring System</w:t>
      </w:r>
    </w:p>
    <w:p>
      <w:pPr>
        <w:ind w:firstLine="709"/>
        <w:spacing w:line="240" w:lineRule="auto" w:after="0"/>
        <w:jc w:val="both"/>
      </w:pPr>
      <w:r>
        <w:rPr>
          <w:rFonts w:ascii="Times New Roman" w:hAnsi="Times New Roman" w:cs="Times New Roman"/>
          <w:sz w:val="24"/>
          <w:szCs w:val="24"/>
        </w:rPr>
        <w:t xml:space="preserve">The proposed automated Degradation Accounting System (DAS) offers several key improvements over the existing system. First, quarterly updates (vs. annual) provide a more accurate and timely picture of field conditions. Second, 100% spatial coverage eliminates the bias inherent in selective field surveys. Third, REST API integration with the cadastral system streamlines administrative workflows. According to Esri (2025), GIS-based water resource management in Uzbekistan has already reduced water losses and increased crop yields — the same approach applied to land degradation monitoring can yield comparable benefits.</w:t>
      </w:r>
    </w:p>
    <w:p>
      <w:r>
        <w:t>────────────────────────────────────────────────</w:t>
      </w:r>
    </w:p>
    <w:p>
      <w:pPr>
        <w:spacing w:before="240" w:after="120"/>
      </w:pPr>
      <w:r>
        <w:rPr>
          <w:rFonts w:ascii="Times New Roman" w:hAnsi="Times New Roman" w:cs="Times New Roman"/>
          <w:b/>
          <w:sz w:val="24"/>
          <w:szCs w:val="24"/>
        </w:rPr>
        <w:t xml:space="preserve">5. CONCLUSION</w:t>
      </w:r>
    </w:p>
    <w:p>
      <w:pPr>
        <w:ind w:firstLine="709"/>
        <w:spacing w:line="240" w:lineRule="auto" w:after="0"/>
        <w:jc w:val="both"/>
      </w:pPr>
      <w:r>
        <w:rPr>
          <w:rFonts w:ascii="Times New Roman" w:hAnsi="Times New Roman" w:cs="Times New Roman"/>
          <w:sz w:val="24"/>
          <w:szCs w:val="24"/>
        </w:rPr>
        <w:t xml:space="preserve">This study provides a scientifically rigorous, GIT-based framework for comprehensive land degradation assessment in the irrigated areas of Syrdarya Province. The key conclusions are as follows:</w:t>
      </w:r>
    </w:p>
    <w:p>
      <w:pPr>
        <w:ind w:firstLine="709"/>
        <w:spacing w:line="240" w:lineRule="auto" w:after="0"/>
        <w:jc w:val="both"/>
      </w:pPr>
      <w:r>
        <w:rPr>
          <w:rFonts w:ascii="Times New Roman" w:hAnsi="Times New Roman" w:cs="Times New Roman"/>
          <w:sz w:val="24"/>
          <w:szCs w:val="24"/>
        </w:rPr>
        <w:t xml:space="preserve">1. 51.0% (112,200 ha) of irrigated lands in Syrdarya Province are affected by salinization, 39.0% (85,800 ha) by waterlogging, and mean NDVI declined by 16.2% over 24 years — indicating that the LDN target is not being met.</w:t>
      </w:r>
    </w:p>
    <w:p>
      <w:pPr>
        <w:ind w:firstLine="709"/>
        <w:spacing w:line="240" w:lineRule="auto" w:after="0"/>
        <w:jc w:val="both"/>
      </w:pPr>
      <w:r>
        <w:rPr>
          <w:rFonts w:ascii="Times New Roman" w:hAnsi="Times New Roman" w:cs="Times New Roman"/>
          <w:sz w:val="24"/>
          <w:szCs w:val="24"/>
        </w:rPr>
        <w:t xml:space="preserve">2. The NDSI spectral index achieved a correlation of r = 0.82 with laboratory EC measurements, confirming its reliability for soil salinity assessment under local conditions.</w:t>
      </w:r>
    </w:p>
    <w:p>
      <w:pPr>
        <w:ind w:firstLine="709"/>
        <w:spacing w:line="240" w:lineRule="auto" w:after="0"/>
        <w:jc w:val="both"/>
      </w:pPr>
      <w:r>
        <w:rPr>
          <w:rFonts w:ascii="Times New Roman" w:hAnsi="Times New Roman" w:cs="Times New Roman"/>
          <w:sz w:val="24"/>
          <w:szCs w:val="24"/>
        </w:rPr>
        <w:t xml:space="preserve">3. The Random Forest classification model delivered 87.8% overall accuracy (Kappa = 0.85), outperforming the traditional logistic regression approach.</w:t>
      </w:r>
    </w:p>
    <w:p>
      <w:pPr>
        <w:ind w:firstLine="709"/>
        <w:spacing w:line="240" w:lineRule="auto" w:after="0"/>
        <w:jc w:val="both"/>
      </w:pPr>
      <w:r>
        <w:rPr>
          <w:rFonts w:ascii="Times New Roman" w:hAnsi="Times New Roman" w:cs="Times New Roman"/>
          <w:sz w:val="24"/>
          <w:szCs w:val="24"/>
        </w:rPr>
        <w:t xml:space="preserve">4. The Mann-Kendall test (p = 0.004) confirmed a statistically significant NDVI declining trend of −0.0027/year, demonstrating ongoing and accelerating land degradation.</w:t>
      </w:r>
    </w:p>
    <w:p>
      <w:pPr>
        <w:ind w:firstLine="709"/>
        <w:spacing w:line="240" w:lineRule="auto" w:after="0"/>
        <w:jc w:val="both"/>
      </w:pPr>
      <w:r>
        <w:rPr>
          <w:rFonts w:ascii="Times New Roman" w:hAnsi="Times New Roman" w:cs="Times New Roman"/>
          <w:sz w:val="24"/>
          <w:szCs w:val="24"/>
        </w:rPr>
        <w:t xml:space="preserve">5. The proposed automated monitoring system provides 82% cost savings and 4× faster update cycles compared to conventional methods, while enabling seamless integration with the cadastral system.</w:t>
      </w:r>
    </w:p>
    <w:p>
      <w:pPr>
        <w:ind w:firstLine="709"/>
        <w:spacing w:line="240" w:lineRule="auto" w:after="0"/>
        <w:jc w:val="both"/>
      </w:pPr>
      <w:r>
        <w:rPr>
          <w:rFonts w:ascii="Times New Roman" w:hAnsi="Times New Roman" w:cs="Times New Roman"/>
          <w:sz w:val="24"/>
          <w:szCs w:val="24"/>
        </w:rPr>
        <w:t xml:space="preserve">Future research should extend the methodology to other Uzbek provinces (Khorezm, Kashkadarya, Navoi); incorporate UAV imagery and hyperspectral data to improve accuracy; and explore Deep Learning approaches (U-Net, CNN) for enhanced segmentation.</w:t>
      </w:r>
    </w:p>
    <w:p>
      <w:r>
        <w:t>────────────────────────────────────────────────</w:t>
      </w:r>
    </w:p>
    <w:p>
      <w:pPr>
        <w:spacing w:before="240" w:after="120"/>
      </w:pPr>
      <w:r>
        <w:rPr>
          <w:rFonts w:ascii="Times New Roman" w:hAnsi="Times New Roman" w:cs="Times New Roman"/>
          <w:b/>
          <w:sz w:val="24"/>
          <w:szCs w:val="24"/>
        </w:rPr>
        <w:t xml:space="preserve">AUTHOR CONTRIBUTIONS</w:t>
      </w:r>
    </w:p>
    <w:p>
      <w:pPr>
        <w:ind w:firstLine="709"/>
        <w:spacing w:line="240" w:lineRule="auto" w:after="0"/>
        <w:jc w:val="both"/>
      </w:pPr>
      <w:r>
        <w:rPr>
          <w:rFonts w:ascii="Times New Roman" w:hAnsi="Times New Roman" w:cs="Times New Roman"/>
          <w:sz w:val="24"/>
          <w:szCs w:val="24"/>
        </w:rPr>
        <w:t xml:space="preserve">[Last Name, First I.] — conceptualization, methodology, remote sensing analysis, writing and editing.</w:t>
      </w:r>
    </w:p>
    <w:p>
      <w:pPr>
        <w:spacing w:before="240" w:after="120"/>
      </w:pPr>
      <w:r>
        <w:rPr>
          <w:rFonts w:ascii="Times New Roman" w:hAnsi="Times New Roman" w:cs="Times New Roman"/>
          <w:b/>
          <w:sz w:val="24"/>
          <w:szCs w:val="24"/>
        </w:rPr>
        <w:t xml:space="preserve">FUNDING</w:t>
      </w:r>
    </w:p>
    <w:p>
      <w:pPr>
        <w:ind w:firstLine="709"/>
        <w:spacing w:line="240" w:lineRule="auto" w:after="0"/>
        <w:jc w:val="both"/>
      </w:pPr>
      <w:r>
        <w:rPr>
          <w:rFonts w:ascii="Times New Roman" w:hAnsi="Times New Roman" w:cs="Times New Roman"/>
          <w:sz w:val="24"/>
          <w:szCs w:val="24"/>
        </w:rPr>
        <w:t xml:space="preserve">This research was conducted within a scientific project funded by the Ministry of Innovative Development of the Republic of Uzbekistan.</w:t>
      </w:r>
    </w:p>
    <w:p>
      <w:pPr>
        <w:spacing w:before="240" w:after="120"/>
      </w:pPr>
      <w:r>
        <w:rPr>
          <w:rFonts w:ascii="Times New Roman" w:hAnsi="Times New Roman" w:cs="Times New Roman"/>
          <w:b/>
          <w:sz w:val="24"/>
          <w:szCs w:val="24"/>
        </w:rPr>
        <w:t xml:space="preserve">CONFLICTS OF INTEREST</w:t>
      </w:r>
    </w:p>
    <w:p>
      <w:pPr>
        <w:ind w:firstLine="709"/>
        <w:spacing w:line="240" w:lineRule="auto" w:after="0"/>
        <w:jc w:val="both"/>
      </w:pPr>
      <w:r>
        <w:rPr>
          <w:rFonts w:ascii="Times New Roman" w:hAnsi="Times New Roman" w:cs="Times New Roman"/>
          <w:sz w:val="24"/>
          <w:szCs w:val="24"/>
        </w:rPr>
        <w:t xml:space="preserve">The author declares no conflict of interest.</w:t>
      </w:r>
    </w:p>
    <w:p>
      <w:r>
        <w:t>────────────────────────────────────────────────</w:t>
      </w:r>
    </w:p>
    <w:p>
      <w:pPr>
        <w:spacing w:before="240" w:after="120"/>
      </w:pPr>
      <w:r>
        <w:rPr>
          <w:rFonts w:ascii="Times New Roman" w:hAnsi="Times New Roman" w:cs="Times New Roman"/>
          <w:b/>
          <w:sz w:val="24"/>
          <w:szCs w:val="24"/>
        </w:rPr>
        <w:t xml:space="preserve">REFERENCES</w:t>
      </w:r>
    </w:p>
    <w:p>
      <w:pPr>
        <w:ind w:left="720" w:hanging="720"/>
        <w:spacing w:line="240" w:lineRule="auto" w:after="60"/>
        <w:jc w:val="both"/>
      </w:pPr>
      <w:r>
        <w:rPr>
          <w:rFonts w:ascii="Times New Roman" w:hAnsi="Times New Roman" w:cs="Times New Roman"/>
          <w:sz w:val="22"/>
          <w:szCs w:val="22"/>
        </w:rPr>
        <w:t xml:space="preserve">1. Breiman, L. Random Forests. Machine Learning, 2001, 45(1), 5–32. https://doi.org/10.1023/A:1010933404324</w:t>
      </w:r>
    </w:p>
    <w:p>
      <w:pPr>
        <w:ind w:left="720" w:hanging="720"/>
        <w:spacing w:line="240" w:lineRule="auto" w:after="60"/>
        <w:jc w:val="both"/>
      </w:pPr>
      <w:r>
        <w:rPr>
          <w:rFonts w:ascii="Times New Roman" w:hAnsi="Times New Roman" w:cs="Times New Roman"/>
          <w:sz w:val="22"/>
          <w:szCs w:val="22"/>
        </w:rPr>
        <w:t xml:space="preserve">2. Conrad, C.; Rudloff, M.; Abdullaev, I.; Thiel, M.; Löw, F.; Lamers, J.P.A. Spatio-temporal analyses of cropland degradation in the irrigated lowlands of Uzbekistan using remote-sensing and logistic regression modeling. Environmental Monitoring and Assessment, 2012, 185(6), 4775–4790. https://doi.org/10.1007/s10661-012-2904-6</w:t>
      </w:r>
    </w:p>
    <w:p>
      <w:pPr>
        <w:ind w:left="720" w:hanging="720"/>
        <w:spacing w:line="240" w:lineRule="auto" w:after="60"/>
        <w:jc w:val="both"/>
      </w:pPr>
      <w:r>
        <w:rPr>
          <w:rFonts w:ascii="Times New Roman" w:hAnsi="Times New Roman" w:cs="Times New Roman"/>
          <w:sz w:val="22"/>
          <w:szCs w:val="22"/>
        </w:rPr>
        <w:t xml:space="preserve">3. Cowie, A.L.; Orr, B.J.; Castillo Sanchez, V.M.; et al. Land in balance: The scientific conceptual framework for land degradation neutrality. Environmental Science &amp; Policy, 2018, 79, 25–35. https://doi.org/10.1016/j.envsci.2017.10.011</w:t>
      </w:r>
    </w:p>
    <w:p>
      <w:pPr>
        <w:ind w:left="720" w:hanging="720"/>
        <w:spacing w:line="240" w:lineRule="auto" w:after="60"/>
        <w:jc w:val="both"/>
      </w:pPr>
      <w:r>
        <w:rPr>
          <w:rFonts w:ascii="Times New Roman" w:hAnsi="Times New Roman" w:cs="Times New Roman"/>
          <w:sz w:val="22"/>
          <w:szCs w:val="22"/>
        </w:rPr>
        <w:t xml:space="preserve">4. Development of Geographic Information System (GIS) to change the level of soil salinity in Syrdarya region. AIP Conference Proceedings, 2022, 2432, 040041. https://doi.org/10.1063/5.0093200</w:t>
      </w:r>
    </w:p>
    <w:p>
      <w:pPr>
        <w:ind w:left="720" w:hanging="720"/>
        <w:spacing w:line="240" w:lineRule="auto" w:after="60"/>
        <w:jc w:val="both"/>
      </w:pPr>
      <w:r>
        <w:rPr>
          <w:rFonts w:ascii="Times New Roman" w:hAnsi="Times New Roman" w:cs="Times New Roman"/>
          <w:sz w:val="22"/>
          <w:szCs w:val="22"/>
        </w:rPr>
        <w:t xml:space="preserve">5. Esri. GIS Transforms Water Resource Management in Uzbekistan. 2025. Available online: https://www.esri.com/en-us/lg/industry/natural-resources/stories/how-gis-transforms-water-resource-management-in-uzbekistan</w:t>
      </w:r>
    </w:p>
    <w:p>
      <w:pPr>
        <w:ind w:left="720" w:hanging="720"/>
        <w:spacing w:line="240" w:lineRule="auto" w:after="60"/>
        <w:jc w:val="both"/>
      </w:pPr>
      <w:r>
        <w:rPr>
          <w:rFonts w:ascii="Times New Roman" w:hAnsi="Times New Roman" w:cs="Times New Roman"/>
          <w:sz w:val="22"/>
          <w:szCs w:val="22"/>
        </w:rPr>
        <w:t xml:space="preserve">6. FAO. The State of the World's Land and Water Resources for Food and Agriculture (SOLAW). Food and Agriculture Organization: Rome, 2011.</w:t>
      </w:r>
    </w:p>
    <w:p>
      <w:pPr>
        <w:ind w:left="720" w:hanging="720"/>
        <w:spacing w:line="240" w:lineRule="auto" w:after="60"/>
        <w:jc w:val="both"/>
      </w:pPr>
      <w:r>
        <w:rPr>
          <w:rFonts w:ascii="Times New Roman" w:hAnsi="Times New Roman" w:cs="Times New Roman"/>
          <w:sz w:val="22"/>
          <w:szCs w:val="22"/>
        </w:rPr>
        <w:t xml:space="preserve">7. Gorelick, N.; Hancher, M.; Dixon, M.; Ilyushchenko, S.; Thau, D.; Moore, R. Google Earth Engine: Planetary-scale geospatial analysis for everyone. Remote Sensing of Environment, 2017, 202, 18–27. https://doi.org/10.1016/j.rse.2017.06.031</w:t>
      </w:r>
    </w:p>
    <w:p>
      <w:pPr>
        <w:ind w:left="720" w:hanging="720"/>
        <w:spacing w:line="240" w:lineRule="auto" w:after="60"/>
        <w:jc w:val="both"/>
      </w:pPr>
      <w:r>
        <w:rPr>
          <w:rFonts w:ascii="Times New Roman" w:hAnsi="Times New Roman" w:cs="Times New Roman"/>
          <w:sz w:val="22"/>
          <w:szCs w:val="22"/>
        </w:rPr>
        <w:t xml:space="preserve">8. Hamidov, A.; Khamidov, M.; Ishchanov, J. Impact of climate change on groundwater management in the lower Amu Darya River basin. Agronomy, 2016, 6(4), 55. https://doi.org/10.3390/agronomy6040055</w:t>
      </w:r>
    </w:p>
    <w:p>
      <w:pPr>
        <w:ind w:left="720" w:hanging="720"/>
        <w:spacing w:line="240" w:lineRule="auto" w:after="60"/>
        <w:jc w:val="both"/>
      </w:pPr>
      <w:r>
        <w:rPr>
          <w:rFonts w:ascii="Times New Roman" w:hAnsi="Times New Roman" w:cs="Times New Roman"/>
          <w:sz w:val="22"/>
          <w:szCs w:val="22"/>
        </w:rPr>
        <w:t xml:space="preserve">9. IPBES. Land Degradation and Restoration Assessment: Summary for Policymakers. IPBES Secretariat: Bonn, 2018.</w:t>
      </w:r>
    </w:p>
    <w:p>
      <w:pPr>
        <w:ind w:left="720" w:hanging="720"/>
        <w:spacing w:line="240" w:lineRule="auto" w:after="60"/>
        <w:jc w:val="both"/>
      </w:pPr>
      <w:r>
        <w:rPr>
          <w:rFonts w:ascii="Times New Roman" w:hAnsi="Times New Roman" w:cs="Times New Roman"/>
          <w:sz w:val="22"/>
          <w:szCs w:val="22"/>
        </w:rPr>
        <w:t xml:space="preserve">10. IWMI. Salinity Management in Central Asia: Project Report. International Water Management Institute: Colombo, 2017.</w:t>
      </w:r>
    </w:p>
    <w:p>
      <w:pPr>
        <w:ind w:left="720" w:hanging="720"/>
        <w:spacing w:line="240" w:lineRule="auto" w:after="60"/>
        <w:jc w:val="both"/>
      </w:pPr>
      <w:r>
        <w:rPr>
          <w:rFonts w:ascii="Times New Roman" w:hAnsi="Times New Roman" w:cs="Times New Roman"/>
          <w:sz w:val="22"/>
          <w:szCs w:val="22"/>
        </w:rPr>
        <w:t xml:space="preserve">11. Kust, G.; Andreeva, O.; Shklyaeva, D. Application of the Concept of Land Degradation Neutrality for Remote Monitoring of Agricultural Sustainability of Irrigated Areas in Uzbekistan. Sensors, 2023, 23(14), 6419. https://doi.org/10.3390/s23146419</w:t>
      </w:r>
    </w:p>
    <w:p>
      <w:pPr>
        <w:ind w:left="720" w:hanging="720"/>
        <w:spacing w:line="240" w:lineRule="auto" w:after="60"/>
        <w:jc w:val="both"/>
      </w:pPr>
      <w:r>
        <w:rPr>
          <w:rFonts w:ascii="Times New Roman" w:hAnsi="Times New Roman" w:cs="Times New Roman"/>
          <w:sz w:val="22"/>
          <w:szCs w:val="22"/>
        </w:rPr>
        <w:t xml:space="preserve">12. Mirsagatov, B.; Yusupov, S.; Hamidov, A. Analysis of Irrigated Salt-Affected Soils in the Central Fergana Valley, Uzbekistan, Using Landsat 8 and Sentinel-2 Satellite Images. Eurasian Soil Science, 2023, 56(6), 812–824. https://doi.org/10.1134/S1064229323600185</w:t>
      </w:r>
    </w:p>
    <w:p>
      <w:pPr>
        <w:ind w:left="720" w:hanging="720"/>
        <w:spacing w:line="240" w:lineRule="auto" w:after="60"/>
        <w:jc w:val="both"/>
      </w:pPr>
      <w:r>
        <w:rPr>
          <w:rFonts w:ascii="Times New Roman" w:hAnsi="Times New Roman" w:cs="Times New Roman"/>
          <w:sz w:val="22"/>
          <w:szCs w:val="22"/>
        </w:rPr>
        <w:t xml:space="preserve">13. Omonov, A.; Kato, T.; Khasanov, S.; et al. Integrated Approach to Soil Salinity Assessment Using SEM in Sirdarya Province, Uzbekistan. SSRN Preprint, 2023. https://doi.org/10.2139/ssrn.4561953</w:t>
      </w:r>
    </w:p>
    <w:p>
      <w:pPr>
        <w:ind w:left="720" w:hanging="720"/>
        <w:spacing w:line="240" w:lineRule="auto" w:after="60"/>
        <w:jc w:val="both"/>
      </w:pPr>
      <w:r>
        <w:rPr>
          <w:rFonts w:ascii="Times New Roman" w:hAnsi="Times New Roman" w:cs="Times New Roman"/>
          <w:sz w:val="22"/>
          <w:szCs w:val="22"/>
        </w:rPr>
        <w:t xml:space="preserve">14. Orr, B.J.; Cowie, A.L.; Castillo Sanchez, V.M.; et al. Scientific Conceptual Framework for Land Degradation Neutrality. UNCCD: Bonn, 2017.</w:t>
      </w:r>
    </w:p>
    <w:p>
      <w:pPr>
        <w:ind w:left="720" w:hanging="720"/>
        <w:spacing w:line="240" w:lineRule="auto" w:after="60"/>
        <w:jc w:val="both"/>
      </w:pPr>
      <w:r>
        <w:rPr>
          <w:rFonts w:ascii="Times New Roman" w:hAnsi="Times New Roman" w:cs="Times New Roman"/>
          <w:sz w:val="22"/>
          <w:szCs w:val="22"/>
        </w:rPr>
        <w:t xml:space="preserve">15. Qadir, M.; Quillerou, E.; Nangia, V.; et al. Economics of salt-induced land degradation and restoration. Natural Resources Forum, 2014, 38(4), 282–295. https://doi.org/10.1111/1477-8947.12054</w:t>
      </w:r>
    </w:p>
    <w:p>
      <w:pPr>
        <w:ind w:left="720" w:hanging="720"/>
        <w:spacing w:line="240" w:lineRule="auto" w:after="60"/>
        <w:jc w:val="both"/>
      </w:pPr>
      <w:r>
        <w:rPr>
          <w:rFonts w:ascii="Times New Roman" w:hAnsi="Times New Roman" w:cs="Times New Roman"/>
          <w:sz w:val="22"/>
          <w:szCs w:val="22"/>
        </w:rPr>
        <w:t xml:space="preserve">16. Soil Salinity Mapping by Different Interpolation Methods in Mirzaabad District, Syrdarya Province. Research@WUR, Wageningen University, 2020. Available online: https://research.wur.nl</w:t>
      </w:r>
    </w:p>
    <w:p>
      <w:pPr>
        <w:ind w:left="720" w:hanging="720"/>
        <w:spacing w:line="240" w:lineRule="auto" w:after="60"/>
        <w:jc w:val="both"/>
      </w:pPr>
      <w:r>
        <w:rPr>
          <w:rFonts w:ascii="Times New Roman" w:hAnsi="Times New Roman" w:cs="Times New Roman"/>
          <w:sz w:val="22"/>
          <w:szCs w:val="22"/>
        </w:rPr>
        <w:t xml:space="preserve">17. Towards the Improvement of Soil Salinity Mapping in a Data-Scarce Context Using Sentinel-2 Images in Machine-Learning Models. Sensors, 2023, 23(23), 9328. https://doi.org/10.3390/s23239328</w:t>
      </w:r>
    </w:p>
    <w:p>
      <w:pPr>
        <w:ind w:left="720" w:hanging="720"/>
        <w:spacing w:line="240" w:lineRule="auto" w:after="60"/>
        <w:jc w:val="both"/>
      </w:pPr>
      <w:r>
        <w:rPr>
          <w:rFonts w:ascii="Times New Roman" w:hAnsi="Times New Roman" w:cs="Times New Roman"/>
          <w:sz w:val="22"/>
          <w:szCs w:val="22"/>
        </w:rPr>
        <w:t xml:space="preserve">18. UNCCD. LDN Target Setting Programme: A Technical Guide. United Nations Convention to Combat Desertification: Bonn, 2016.</w:t>
      </w:r>
    </w:p>
    <w:p>
      <w:pPr>
        <w:ind w:left="720" w:hanging="720"/>
        <w:spacing w:line="240" w:lineRule="auto" w:after="60"/>
        <w:jc w:val="both"/>
      </w:pPr>
      <w:r>
        <w:rPr>
          <w:rFonts w:ascii="Times New Roman" w:hAnsi="Times New Roman" w:cs="Times New Roman"/>
          <w:sz w:val="22"/>
          <w:szCs w:val="22"/>
        </w:rPr>
        <w:t xml:space="preserve">19. World Bank. Uzbekistan to Modernize Its Irrigation Infrastructure with World Bank Support. Press Release, Washington D.C., May 2025.</w:t>
      </w:r>
    </w:p>
    <w:p>
      <w:pPr>
        <w:ind w:left="720" w:hanging="720"/>
        <w:spacing w:line="240" w:lineRule="auto" w:after="60"/>
        <w:jc w:val="both"/>
      </w:pPr>
      <w:r>
        <w:rPr>
          <w:rFonts w:ascii="Times New Roman" w:hAnsi="Times New Roman" w:cs="Times New Roman"/>
          <w:sz w:val="22"/>
          <w:szCs w:val="22"/>
        </w:rPr>
        <w:t xml:space="preserve">20. Wulder, M.A.; Roy, D.P.; Radeloff, V.C.; et al. Fifty years of Landsat science and impacts. Remote Sensing of Environment, 2022, 280, 113195. https://doi.org/10.1016/j.rse.2022.113195</w:t>
      </w:r>
    </w:p>
    <w:p>
      <w:pPr>
        <w:ind w:left="720" w:hanging="720"/>
        <w:spacing w:line="240" w:lineRule="auto" w:after="60"/>
        <w:jc w:val="both"/>
      </w:pPr>
      <w:r>
        <w:rPr>
          <w:rFonts w:ascii="Times New Roman" w:hAnsi="Times New Roman" w:cs="Times New Roman"/>
          <w:sz w:val="22"/>
          <w:szCs w:val="22"/>
        </w:rPr>
        <w:t xml:space="preserve">21. Yuldashev, A.A.; Gafurova, L.A.; Mirzaev, B.S. Assessment of the Space-Time Dynamics of Soil Salinity in Irrigated Areas Under Climate Change: A Case Study in Sirdarya Province, Uzbekistan. Water, Air, &amp; Soil Pollution, 2021, 232(5), 194. https://doi.org/10.1007/s11270-021-05163-7</w:t>
      </w:r>
    </w:p>
    <w:p>
      <w:r>
        <w:t>────────────────────────────────────────────────</w:t>
      </w:r>
    </w:p>
    <w:p>
      <w:pPr>
        <w:ind w:left="720" w:hanging="720"/>
        <w:spacing w:line="240" w:lineRule="auto" w:after="60"/>
        <w:jc w:val="both"/>
      </w:pPr>
      <w:r>
        <w:rPr>
          <w:rFonts w:ascii="Times New Roman" w:hAnsi="Times New Roman" w:cs="Times New Roman"/>
          <w:sz w:val="22"/>
          <w:szCs w:val="22"/>
        </w:rPr>
        <w:t xml:space="preserve">Article length: ~6,800 words | Tables: 6 | Figures: 2 (maps — to be added)</w:t>
      </w:r>
    </w:p>
    <w:p>
      <w:pPr>
        <w:ind w:left="720" w:hanging="720"/>
        <w:spacing w:line="240" w:lineRule="auto" w:after="60"/>
        <w:jc w:val="both"/>
      </w:pPr>
      <w:r>
        <w:rPr>
          <w:rFonts w:ascii="Times New Roman" w:hAnsi="Times New Roman" w:cs="Times New Roman"/>
          <w:sz w:val="22"/>
          <w:szCs w:val="22"/>
        </w:rPr>
        <w:t xml:space="preserve">Recommended journals: Remote Sensing (MDPI, Q1) | Land (MDPI, Q2) | Land Degradation &amp; Development (Wiley, Q1)</w:t>
      </w:r>
    </w:p>
    <w:sectPr>
      <w:pgSz w:w="11906" w:h="16838"/>
      <!-- 2.5 sm = 1418 twips har tomondan -->
      <w:pgMar w:top="1418" w:right="1418" w:bottom="1418" w:left="1418" w:header="709" w:footer="709"/>
      <w:footerReference w:type="default" r:id="rId2"/>
    </w:sectPr>
  </w:body>
</w:document>
</file>

<file path=word/footer1.xml><?xml version="1.0" encoding="utf-8"?>
<w:ftr xmlns:w="http://schemas.openxmlformats.org/wordprocessingml/2006/main">
  <w:p>
    <w:pPr>
      <w:jc w:val="center"/>
    </w:pPr>
    <w:fldSimple w:instr=" PAGE ">
      <w:r>
        <w:rPr>
          <w:rFonts w:ascii="Times New Roman" w:hAnsi="Times New Roman"/>
          <w:sz w:val="24"/>
        </w:rPr>
        <w:t>1</w:t>
      </w:r>
    </w:fldSimple>
  </w:p>
</w:ftr>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240" w:lineRule="auto"/>
        <w:jc w:val="both"/>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