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w:t>
            </w:r>
            <w:proofErr w:type="spellStart"/>
            <w:r w:rsidR="005A5175">
              <w:rPr>
                <w:rFonts w:ascii="Times New Roman" w:hAnsi="Times New Roman" w:cs="Times New Roman"/>
                <w:b/>
                <w:sz w:val="24"/>
                <w:szCs w:val="24"/>
              </w:rPr>
              <w:t>contract_id</w:t>
            </w:r>
            <w:proofErr w:type="spellEnd"/>
            <w:r w:rsidR="005A5175">
              <w:rPr>
                <w:rFonts w:ascii="Times New Roman" w:hAnsi="Times New Roman" w:cs="Times New Roman"/>
                <w:b/>
                <w:sz w:val="24"/>
                <w:szCs w:val="24"/>
              </w:rPr>
              <w:t>}}</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{{date}}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w:t>
      </w:r>
      <w:proofErr w:type="spellStart"/>
      <w:r w:rsidR="001428DF">
        <w:rPr>
          <w:rFonts w:ascii="Times New Roman" w:hAnsi="Times New Roman" w:cs="Times New Roman"/>
          <w:b/>
          <w:sz w:val="24"/>
          <w:szCs w:val="24"/>
        </w:rPr>
        <w:t>full_name</w:t>
      </w:r>
      <w:proofErr w:type="spellEnd"/>
      <w:r w:rsidR="001428DF">
        <w:rPr>
          <w:rFonts w:ascii="Times New Roman" w:hAnsi="Times New Roman" w:cs="Times New Roman"/>
          <w:b/>
          <w:sz w:val="24"/>
          <w:szCs w:val="24"/>
        </w:rPr>
        <w:t>}}</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Ta’lim bosqichi:</w:t>
      </w:r>
      <w:r w:rsidR="001428DF">
        <w:rPr>
          <w:rFonts w:ascii="Times New Roman" w:hAnsi="Times New Roman" w:cs="Times New Roman"/>
          <w:b/>
          <w:sz w:val="24"/>
          <w:szCs w:val="24"/>
          <w:lang w:val="tr-TR"/>
        </w:rPr>
        <w:t xml:space="preserve">     {{edu_stage}}</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w:t>
      </w:r>
      <w:r w:rsidR="000204F9" w:rsidRPr="000204F9">
        <w:rPr>
          <w:rFonts w:ascii="Times New Roman" w:hAnsi="Times New Roman" w:cs="Times New Roman"/>
          <w:sz w:val="24"/>
          <w:szCs w:val="24"/>
          <w:lang w:val="tr-TR"/>
        </w:rPr>
        <w:t>speciality</w:t>
      </w:r>
      <w:r w:rsidR="001428DF">
        <w:rPr>
          <w:rFonts w:ascii="Times New Roman" w:hAnsi="Times New Roman" w:cs="Times New Roman"/>
          <w:sz w:val="24"/>
          <w:szCs w:val="24"/>
          <w:lang w:val="tr-TR"/>
        </w:rPr>
        <w:t>}}</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{{period}}</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{{edu_type}}</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w:t>
      </w:r>
      <w:r w:rsidR="00535AF5">
        <w:rPr>
          <w:rFonts w:ascii="Times New Roman" w:hAnsi="Times New Roman" w:cs="Times New Roman"/>
          <w:sz w:val="24"/>
          <w:szCs w:val="24"/>
          <w:lang w:val="tr-TR"/>
        </w:rPr>
        <w:t>contract_summ</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w:t>
      </w:r>
      <w:r w:rsidR="000204F9">
        <w:rPr>
          <w:rFonts w:ascii="Times New Roman" w:hAnsi="Times New Roman" w:cs="Times New Roman"/>
          <w:sz w:val="24"/>
          <w:szCs w:val="24"/>
          <w:lang w:val="tr-TR"/>
        </w:rPr>
        <w:t xml:space="preserve"> {{contract_alpha}}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w:t>
            </w:r>
            <w:r w:rsidR="002E756F" w:rsidRPr="00EF7509">
              <w:rPr>
                <w:rFonts w:ascii="Times New Roman" w:hAnsi="Times New Roman" w:cs="Times New Roman"/>
                <w:bCs/>
                <w:sz w:val="26"/>
                <w:szCs w:val="26"/>
                <w:lang w:val="tr-TR"/>
              </w:rPr>
              <w:t>full_name</w:t>
            </w:r>
            <w:r w:rsidR="000204F9" w:rsidRPr="00EF7509">
              <w:rPr>
                <w:rFonts w:ascii="Times New Roman" w:hAnsi="Times New Roman" w:cs="Times New Roman"/>
                <w:bCs/>
                <w:sz w:val="26"/>
                <w:szCs w:val="26"/>
                <w:lang w:val="tr-TR"/>
              </w:rPr>
              <w:t>}}</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{{birthday}}</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{{passport}}</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bookmarkStart w:id="0" w:name="_GoBack"/>
            <w:bookmarkEnd w:id="0"/>
            <w:r w:rsidRPr="00EF7509">
              <w:rPr>
                <w:rFonts w:ascii="Times New Roman" w:hAnsi="Times New Roman" w:cs="Times New Roman"/>
                <w:bCs/>
                <w:sz w:val="26"/>
                <w:szCs w:val="26"/>
              </w:rPr>
              <w:t>{{</w:t>
            </w:r>
            <w:proofErr w:type="spellStart"/>
            <w:r w:rsidRPr="00EF7509">
              <w:rPr>
                <w:rFonts w:ascii="Times New Roman" w:hAnsi="Times New Roman" w:cs="Times New Roman"/>
                <w:bCs/>
                <w:sz w:val="26"/>
                <w:szCs w:val="26"/>
              </w:rPr>
              <w:t>phone</w:t>
            </w:r>
            <w:r>
              <w:rPr>
                <w:rFonts w:ascii="Times New Roman" w:hAnsi="Times New Roman" w:cs="Times New Roman"/>
                <w:bCs/>
                <w:sz w:val="26"/>
                <w:szCs w:val="26"/>
              </w:rPr>
              <w:t>_number</w:t>
            </w:r>
            <w:proofErr w:type="spellEnd"/>
            <w:r>
              <w:rPr>
                <w:rFonts w:ascii="Times New Roman" w:hAnsi="Times New Roman" w:cs="Times New Roman"/>
                <w:bCs/>
                <w:sz w:val="26"/>
                <w:szCs w:val="26"/>
              </w:rPr>
              <w:t>}}</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16</cp:revision>
  <cp:lastPrinted>2024-08-19T06:52:00Z</cp:lastPrinted>
  <dcterms:created xsi:type="dcterms:W3CDTF">2024-08-19T06:21:00Z</dcterms:created>
  <dcterms:modified xsi:type="dcterms:W3CDTF">2024-08-20T13:08:00Z</dcterms:modified>
</cp:coreProperties>
</file>