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xf9to8u06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Acquisition Section: Leveraging Nutrient Management Insights for PEI Potato Production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Management Practices and Data Features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Nitrogen Management: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Pre-plant nitrogen rate (lb/acre)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At-planting nitrogen rate (lb/acre)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Top-dressing nitrogen rate (lb/acre)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Number of nitrogen applications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of slow-release nitrogen products (binary: yes/no)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of nitrification inhibitors (binary: yes/no)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Splitting nitrogen applications mitigates losses, enhances uptake efficiency, and prevents delayed tuberization.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Phosphorus Management: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Soil test phosphorus level (ppm)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P/Al index score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Banded phosphorus rate at planting (lb/acre)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Liquid phosphorus application rate (gallons/acre)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Addressing phosphorus immobility in acidic soils is critical for maintaining availability and optimizing crop response.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Potassium Management: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Pre-plant broadcast potassium rate (lb/acre)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In-planter potassium rate (lb/acre)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Potassium source type (categorical: MOP, SOP, K-MAG)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Balancing potassium applications prevents issues with high salt indexes affecting specific gravity and yield.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Calcium and Sulfur Management: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Gypsum application rate (tons/acre)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Sulfur source and application timing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Addressing deficiencies common in PEI soils ensures optimal plant development and tuber quality.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Soil Organic Matter and Amendments: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Organic matter percentage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Manure or compost application rates (tons/acre)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Cover crop type (categorical)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Tillage practices (categorical: conventional, reduced, no-till)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Enhancing organic matter improves soil resilience, water retention, and nutrient availability.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Soil and Environmental Variables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Soil Characteristics: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Soil pH (range: 5.0–7.2)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Cation Exchange Capacity (CEC)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Soil texture (categorical: sand, loam, clay)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Considerations: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seasonal rainfall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Soil moisture content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Incorporating these variables accounts for local soil and environmental conditions influencing nutrient availability and yield.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Nutrient Removal Rates and Yield Targets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Nutrient removal rates based on yield goals (350 cwt/acre):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Nitrogen: 175 lb/acre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Phosphorus (P2O5): 71 lb/acre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Potassium (K2O): 333 lb/acre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Sulfur: 18 lb/acre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User-defined yield goals to adjust recommendations.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Aligning nutrient recommendations with specific yield targets ensures efficient resource allocation.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Modeling Data Sources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PEI Analytical Laboratory soil test results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Nitrogen credits for plow-down crops (e.g., alfalfa, red clover)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Local research data on nutrient practices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These data sources provide a foundation for robust model calibration and validation specific to PEI.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Key Recommendations for Data Integration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tabular datasets with clear categorical and continuous variables representing soil, nutrient, and management practices.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region-specific insights, such as the P/Al index and nitrogen credits, to refine predictive features.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Incorporate timing and placement strategies for nutrient applications as dynamic inputs.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structuring datasets around these insights, your machine-learning model can effectively optimize potato yield predictions tailored to PEI's unique agricultural conditions.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