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Incorporating Insights from "Optimizing Phosphorus Fertilizer Management in Potato Production"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study "Optimizing Phosphorus Fertilizer Management in Potato Production" provides critical insights that directly inform the development of a predictive model for potato yield optimization. Below are key areas from the paper and how they align with data acquisition strategies for this project:</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Fertilizer Management Practices</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Data Requirement:</w:t>
      </w:r>
      <w:r w:rsidDel="00000000" w:rsidR="00000000" w:rsidRPr="00000000">
        <w:rPr>
          <w:rtl w:val="0"/>
        </w:rPr>
        <w:t xml:space="preserve"> Soil test phosphorus (P) levels and management practices such as banding or broadcasting phosphorus near seed pieces.</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These data points are crucial as they influence yield outcomes, particularly in varying soil textures like loam and silt loam. Including this information will allow the model to address the variability in P responses across soil types.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Collect soil texture classifications, fertilizer application methods, and rates as part of the dataset to improve model prediction accuracy.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Role of Phosphorus in Potato Yield and Quality</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Data Requirement:</w:t>
      </w:r>
      <w:r w:rsidDel="00000000" w:rsidR="00000000" w:rsidRPr="00000000">
        <w:rPr>
          <w:rtl w:val="0"/>
        </w:rPr>
        <w:t xml:space="preserve"> Metrics on canopy development, root growth, and tuber set related to phosphorus application.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Phosphorus impacts various potato growth stages, and its interaction with nitrogen fertilizer affects tuber quality. These growth metrics should be incorporated into the model to capture these dynamics.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Integrate data from petiole testing and fertilizer interaction experiments, focusing on phosphorus and nitrogen.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Soil Phosphorus Levels and Crop Performance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Data Requirement:</w:t>
      </w:r>
      <w:r w:rsidDel="00000000" w:rsidR="00000000" w:rsidRPr="00000000">
        <w:rPr>
          <w:rtl w:val="0"/>
        </w:rPr>
        <w:t xml:space="preserve"> Groupings of soils based on available P levels, including critical threshold values and crop responses.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This approach facilitates feature engineering by classifying soil P levels into categorical variables, thereby improving the predictive power of the model.</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Gather regional soil test data, potato variety-specific yield responses, and environmental variables that modulate P availability.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Phosphorus Source and Application Timing</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Data Requirement:</w:t>
      </w:r>
      <w:r w:rsidDel="00000000" w:rsidR="00000000" w:rsidRPr="00000000">
        <w:rPr>
          <w:rtl w:val="0"/>
        </w:rPr>
        <w:t xml:space="preserve"> Timing and placement of phosphorus applications and types of fertilizers used.</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The effectiveness of P fertilizers is influenced by their type and timing, as observed with in-season applications revealed through petiole P testing.</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Incorporate data on fertilizer types, application schedules, and petiole P levels for time-sensitive insights.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Environmental and Agronomic Interactions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Data Requirement:</w:t>
      </w:r>
      <w:r w:rsidDel="00000000" w:rsidR="00000000" w:rsidRPr="00000000">
        <w:rPr>
          <w:rtl w:val="0"/>
        </w:rPr>
        <w:t xml:space="preserve"> Variables such as soil conservation practices, phosphorus sources like manure, and environmental conditions.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Comprehensive data on these factors can contextualize P loss risks and its availability, enhancing the model’s robustness.</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Gather ancillary data on environmental variables and conservation practices to assess their indirect impacts on yield.</w:t>
      </w:r>
    </w:p>
    <w:p w:rsidR="00000000" w:rsidDel="00000000" w:rsidP="00000000" w:rsidRDefault="00000000" w:rsidRPr="00000000" w14:paraId="00000017">
      <w:pPr>
        <w:spacing w:after="240" w:before="240" w:lineRule="auto"/>
        <w:rPr/>
      </w:pPr>
      <w:r w:rsidDel="00000000" w:rsidR="00000000" w:rsidRPr="00000000">
        <w:rPr>
          <w:rtl w:val="0"/>
        </w:rPr>
        <w:t xml:space="preserve">This enriched dataset, informed by the study, will contribute to a more nuanced and accurate potato yield prediction model, particularly tailored to the conditions in Prince Edward Island.</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