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152">
            <wp:simplePos x="0" y="0"/>
            <wp:positionH relativeFrom="page">
              <wp:posOffset>1002030</wp:posOffset>
            </wp:positionH>
            <wp:positionV relativeFrom="paragraph">
              <wp:posOffset>239839</wp:posOffset>
            </wp:positionV>
            <wp:extent cx="1955029" cy="72548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955029" cy="725487"/>
                    </a:xfrm>
                    <a:prstGeom prst="rect">
                      <a:avLst/>
                    </a:prstGeom>
                  </pic:spPr>
                </pic:pic>
              </a:graphicData>
            </a:graphic>
          </wp:anchor>
        </w:drawing>
      </w:r>
      <w:r>
        <w:rPr/>
        <w:t>Determining</w:t>
      </w:r>
      <w:r>
        <w:rPr>
          <w:spacing w:val="-18"/>
        </w:rPr>
        <w:t> </w:t>
      </w:r>
      <w:r>
        <w:rPr/>
        <w:t>Phosphorus</w:t>
      </w:r>
      <w:r>
        <w:rPr>
          <w:spacing w:val="-19"/>
        </w:rPr>
        <w:t> </w:t>
      </w:r>
      <w:r>
        <w:rPr/>
        <w:t>Fertilization Requirements for Potatoes based on Phosphorus Saturation Index for PEI</w:t>
      </w:r>
    </w:p>
    <w:p>
      <w:pPr>
        <w:spacing w:before="277"/>
        <w:ind w:left="3818" w:right="481" w:firstLine="0"/>
        <w:jc w:val="center"/>
        <w:rPr>
          <w:b/>
          <w:sz w:val="22"/>
        </w:rPr>
      </w:pPr>
      <w:r>
        <w:rPr>
          <w:b/>
          <w:sz w:val="22"/>
        </w:rPr>
        <w:t>October</w:t>
      </w:r>
      <w:r>
        <w:rPr>
          <w:b/>
          <w:spacing w:val="-10"/>
          <w:sz w:val="22"/>
        </w:rPr>
        <w:t> </w:t>
      </w:r>
      <w:r>
        <w:rPr>
          <w:b/>
          <w:spacing w:val="-4"/>
          <w:sz w:val="22"/>
        </w:rPr>
        <w:t>2018</w:t>
      </w:r>
    </w:p>
    <w:p>
      <w:pPr>
        <w:pStyle w:val="BodyText"/>
        <w:spacing w:before="30"/>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876300</wp:posOffset>
                </wp:positionH>
                <wp:positionV relativeFrom="paragraph">
                  <wp:posOffset>180413</wp:posOffset>
                </wp:positionV>
                <wp:extent cx="59817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81700" cy="1270"/>
                        </a:xfrm>
                        <a:custGeom>
                          <a:avLst/>
                          <a:gdLst/>
                          <a:ahLst/>
                          <a:cxnLst/>
                          <a:rect l="l" t="t" r="r" b="b"/>
                          <a:pathLst>
                            <a:path w="5981700" h="0">
                              <a:moveTo>
                                <a:pt x="0" y="0"/>
                              </a:moveTo>
                              <a:lnTo>
                                <a:pt x="598170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9pt;margin-top:14.205762pt;width:471pt;height:.1pt;mso-position-horizontal-relative:page;mso-position-vertical-relative:paragraph;z-index:-15728640;mso-wrap-distance-left:0;mso-wrap-distance-right:0" id="docshape1" coordorigin="1380,284" coordsize="9420,0" path="m1380,284l10800,284e" filled="false" stroked="true" strokeweight="1.5pt" strokecolor="#000000">
                <v:path arrowok="t"/>
                <v:stroke dashstyle="solid"/>
                <w10:wrap type="topAndBottom"/>
              </v:shape>
            </w:pict>
          </mc:Fallback>
        </mc:AlternateContent>
      </w:r>
    </w:p>
    <w:p>
      <w:pPr>
        <w:pStyle w:val="BodyText"/>
        <w:rPr>
          <w:b/>
        </w:rPr>
      </w:pPr>
    </w:p>
    <w:p>
      <w:pPr>
        <w:pStyle w:val="BodyText"/>
        <w:spacing w:before="58"/>
        <w:rPr>
          <w:b/>
        </w:rPr>
      </w:pPr>
    </w:p>
    <w:p>
      <w:pPr>
        <w:pStyle w:val="BodyText"/>
        <w:ind w:left="720" w:right="785" w:firstLine="720"/>
      </w:pPr>
      <w:r>
        <w:rPr/>
        <w:t>Phosphorus (P) supply to a crop can be difficult to manage due to its immobility and ability</w:t>
      </w:r>
      <w:r>
        <w:rPr>
          <w:spacing w:val="-3"/>
        </w:rPr>
        <w:t> </w:t>
      </w:r>
      <w:r>
        <w:rPr/>
        <w:t>to</w:t>
      </w:r>
      <w:r>
        <w:rPr>
          <w:spacing w:val="-2"/>
        </w:rPr>
        <w:t> </w:t>
      </w:r>
      <w:r>
        <w:rPr/>
        <w:t>form</w:t>
      </w:r>
      <w:r>
        <w:rPr>
          <w:spacing w:val="-3"/>
        </w:rPr>
        <w:t> </w:t>
      </w:r>
      <w:r>
        <w:rPr/>
        <w:t>strong</w:t>
      </w:r>
      <w:r>
        <w:rPr>
          <w:spacing w:val="-3"/>
        </w:rPr>
        <w:t> </w:t>
      </w:r>
      <w:r>
        <w:rPr/>
        <w:t>complexes</w:t>
      </w:r>
      <w:r>
        <w:rPr>
          <w:spacing w:val="-3"/>
        </w:rPr>
        <w:t> </w:t>
      </w:r>
      <w:r>
        <w:rPr/>
        <w:t>with</w:t>
      </w:r>
      <w:r>
        <w:rPr>
          <w:spacing w:val="-3"/>
        </w:rPr>
        <w:t> </w:t>
      </w:r>
      <w:r>
        <w:rPr/>
        <w:t>aluminum</w:t>
      </w:r>
      <w:r>
        <w:rPr>
          <w:spacing w:val="-4"/>
        </w:rPr>
        <w:t> </w:t>
      </w:r>
      <w:r>
        <w:rPr/>
        <w:t>and</w:t>
      </w:r>
      <w:r>
        <w:rPr>
          <w:spacing w:val="-2"/>
        </w:rPr>
        <w:t> </w:t>
      </w:r>
      <w:r>
        <w:rPr/>
        <w:t>iron.</w:t>
      </w:r>
      <w:r>
        <w:rPr>
          <w:spacing w:val="-3"/>
        </w:rPr>
        <w:t> </w:t>
      </w:r>
      <w:r>
        <w:rPr/>
        <w:t>Over</w:t>
      </w:r>
      <w:r>
        <w:rPr>
          <w:spacing w:val="-3"/>
        </w:rPr>
        <w:t> </w:t>
      </w:r>
      <w:r>
        <w:rPr/>
        <w:t>time,</w:t>
      </w:r>
      <w:r>
        <w:rPr>
          <w:spacing w:val="-3"/>
        </w:rPr>
        <w:t> </w:t>
      </w:r>
      <w:r>
        <w:rPr/>
        <w:t>if</w:t>
      </w:r>
      <w:r>
        <w:rPr>
          <w:spacing w:val="-3"/>
        </w:rPr>
        <w:t> </w:t>
      </w:r>
      <w:r>
        <w:rPr/>
        <w:t>more</w:t>
      </w:r>
      <w:r>
        <w:rPr>
          <w:spacing w:val="-3"/>
        </w:rPr>
        <w:t> </w:t>
      </w:r>
      <w:r>
        <w:rPr/>
        <w:t>P</w:t>
      </w:r>
      <w:r>
        <w:rPr>
          <w:spacing w:val="-3"/>
        </w:rPr>
        <w:t> </w:t>
      </w:r>
      <w:r>
        <w:rPr/>
        <w:t>is</w:t>
      </w:r>
      <w:r>
        <w:rPr>
          <w:spacing w:val="-3"/>
        </w:rPr>
        <w:t> </w:t>
      </w:r>
      <w:r>
        <w:rPr/>
        <w:t>applied</w:t>
      </w:r>
      <w:r>
        <w:rPr>
          <w:spacing w:val="-3"/>
        </w:rPr>
        <w:t> </w:t>
      </w:r>
      <w:r>
        <w:rPr/>
        <w:t>than crop requirements, the extra P remains and will build up in the soil. If this P builds up to high levels it can cause environmental issues as it can be lost to water bodies by soil erosion.</w:t>
      </w:r>
    </w:p>
    <w:p>
      <w:pPr>
        <w:pStyle w:val="BodyText"/>
        <w:spacing w:before="161"/>
        <w:ind w:left="720" w:right="785" w:firstLine="720"/>
      </w:pPr>
      <w:r>
        <w:rPr/>
        <w:t>There has been recent work outlining P availability within PEI agricultural soils to provide more information on P fertility for potatoes. From 2000-2015, over 42 different P fertilization tests were conducted within PEI, NS and NB with three different potato cultivars. The</w:t>
      </w:r>
      <w:r>
        <w:rPr>
          <w:spacing w:val="-3"/>
        </w:rPr>
        <w:t> </w:t>
      </w:r>
      <w:r>
        <w:rPr/>
        <w:t>results</w:t>
      </w:r>
      <w:r>
        <w:rPr>
          <w:spacing w:val="-3"/>
        </w:rPr>
        <w:t> </w:t>
      </w:r>
      <w:r>
        <w:rPr/>
        <w:t>from</w:t>
      </w:r>
      <w:r>
        <w:rPr>
          <w:spacing w:val="-5"/>
        </w:rPr>
        <w:t> </w:t>
      </w:r>
      <w:r>
        <w:rPr/>
        <w:t>these</w:t>
      </w:r>
      <w:r>
        <w:rPr>
          <w:spacing w:val="-3"/>
        </w:rPr>
        <w:t> </w:t>
      </w:r>
      <w:r>
        <w:rPr/>
        <w:t>tests</w:t>
      </w:r>
      <w:r>
        <w:rPr>
          <w:spacing w:val="-3"/>
        </w:rPr>
        <w:t> </w:t>
      </w:r>
      <w:r>
        <w:rPr/>
        <w:t>have</w:t>
      </w:r>
      <w:r>
        <w:rPr>
          <w:spacing w:val="-3"/>
        </w:rPr>
        <w:t> </w:t>
      </w:r>
      <w:r>
        <w:rPr/>
        <w:t>led</w:t>
      </w:r>
      <w:r>
        <w:rPr>
          <w:spacing w:val="-5"/>
        </w:rPr>
        <w:t> </w:t>
      </w:r>
      <w:r>
        <w:rPr/>
        <w:t>to</w:t>
      </w:r>
      <w:r>
        <w:rPr>
          <w:spacing w:val="-3"/>
        </w:rPr>
        <w:t> </w:t>
      </w:r>
      <w:r>
        <w:rPr/>
        <w:t>development</w:t>
      </w:r>
      <w:r>
        <w:rPr>
          <w:spacing w:val="-3"/>
        </w:rPr>
        <w:t> </w:t>
      </w:r>
      <w:r>
        <w:rPr/>
        <w:t>of</w:t>
      </w:r>
      <w:r>
        <w:rPr>
          <w:spacing w:val="-3"/>
        </w:rPr>
        <w:t> </w:t>
      </w:r>
      <w:r>
        <w:rPr/>
        <w:t>both</w:t>
      </w:r>
      <w:r>
        <w:rPr>
          <w:spacing w:val="-3"/>
        </w:rPr>
        <w:t> </w:t>
      </w:r>
      <w:r>
        <w:rPr/>
        <w:t>an</w:t>
      </w:r>
      <w:r>
        <w:rPr>
          <w:spacing w:val="-3"/>
        </w:rPr>
        <w:t> </w:t>
      </w:r>
      <w:r>
        <w:rPr/>
        <w:t>agronomic</w:t>
      </w:r>
      <w:r>
        <w:rPr>
          <w:spacing w:val="-3"/>
        </w:rPr>
        <w:t> </w:t>
      </w:r>
      <w:r>
        <w:rPr/>
        <w:t>and</w:t>
      </w:r>
      <w:r>
        <w:rPr>
          <w:spacing w:val="-3"/>
        </w:rPr>
        <w:t> </w:t>
      </w:r>
      <w:r>
        <w:rPr/>
        <w:t>an</w:t>
      </w:r>
      <w:r>
        <w:rPr>
          <w:spacing w:val="-3"/>
        </w:rPr>
        <w:t> </w:t>
      </w:r>
      <w:r>
        <w:rPr/>
        <w:t>environmental index for PEI, along with new phosphorus recommendations for potatoes. The environmental index and the basis of the P-Saturation Index have been discussed in a recent factsheet (see the PEI Department of Agriculture and Fisheries’ Factsheet “Understanding the factors controlling phosphorus availability for crop production on PEI” available at: </w:t>
      </w:r>
      <w:r>
        <w:rPr>
          <w:spacing w:val="-2"/>
          <w:sz w:val="22"/>
          <w:u w:val="single"/>
        </w:rPr>
        <w:t>http</w:t>
      </w:r>
      <w:hyperlink r:id="rId6">
        <w:r>
          <w:rPr>
            <w:spacing w:val="-2"/>
            <w:sz w:val="22"/>
            <w:u w:val="single"/>
          </w:rPr>
          <w:t>s://www.princeedwardisland.ca/en/information/agriculture-and-fisheries/understanding-factors-</w:t>
        </w:r>
      </w:hyperlink>
      <w:r>
        <w:rPr>
          <w:spacing w:val="-2"/>
          <w:sz w:val="22"/>
        </w:rPr>
        <w:t> </w:t>
      </w:r>
      <w:r>
        <w:rPr>
          <w:spacing w:val="-2"/>
          <w:sz w:val="22"/>
          <w:u w:val="single"/>
        </w:rPr>
        <w:t>controlling-phosphorus-availability-crop</w:t>
      </w:r>
      <w:r>
        <w:rPr>
          <w:spacing w:val="-2"/>
        </w:rPr>
        <w:t>).</w:t>
      </w:r>
    </w:p>
    <w:p>
      <w:pPr>
        <w:pStyle w:val="BodyText"/>
      </w:pPr>
    </w:p>
    <w:p>
      <w:pPr>
        <w:pStyle w:val="BodyText"/>
        <w:ind w:left="720" w:right="719" w:firstLine="720"/>
        <w:jc w:val="both"/>
      </w:pPr>
      <w:r>
        <w:rPr/>
        <w:t>The environmental P-Saturation Index estimates the critical values of the risk of P transport to the surrounding environment. The six environmental P risk classes based on soil pH for</w:t>
      </w:r>
      <w:r>
        <w:rPr>
          <w:spacing w:val="8"/>
        </w:rPr>
        <w:t> </w:t>
      </w:r>
      <w:r>
        <w:rPr/>
        <w:t>PEI</w:t>
      </w:r>
      <w:r>
        <w:rPr>
          <w:spacing w:val="9"/>
        </w:rPr>
        <w:t> </w:t>
      </w:r>
      <w:r>
        <w:rPr/>
        <w:t>are</w:t>
      </w:r>
      <w:r>
        <w:rPr>
          <w:spacing w:val="11"/>
        </w:rPr>
        <w:t> </w:t>
      </w:r>
      <w:r>
        <w:rPr/>
        <w:t>found</w:t>
      </w:r>
      <w:r>
        <w:rPr>
          <w:spacing w:val="9"/>
        </w:rPr>
        <w:t> </w:t>
      </w:r>
      <w:r>
        <w:rPr/>
        <w:t>in</w:t>
      </w:r>
      <w:r>
        <w:rPr>
          <w:spacing w:val="9"/>
        </w:rPr>
        <w:t> </w:t>
      </w:r>
      <w:r>
        <w:rPr/>
        <w:t>the</w:t>
      </w:r>
      <w:r>
        <w:rPr>
          <w:spacing w:val="9"/>
        </w:rPr>
        <w:t> </w:t>
      </w:r>
      <w:r>
        <w:rPr/>
        <w:t>following</w:t>
      </w:r>
      <w:r>
        <w:rPr>
          <w:spacing w:val="9"/>
        </w:rPr>
        <w:t> </w:t>
      </w:r>
      <w:r>
        <w:rPr/>
        <w:t>table</w:t>
      </w:r>
      <w:r>
        <w:rPr>
          <w:spacing w:val="9"/>
        </w:rPr>
        <w:t> </w:t>
      </w:r>
      <w:r>
        <w:rPr/>
        <w:t>(Table</w:t>
      </w:r>
      <w:r>
        <w:rPr>
          <w:spacing w:val="9"/>
        </w:rPr>
        <w:t> </w:t>
      </w:r>
      <w:r>
        <w:rPr/>
        <w:t>1).</w:t>
      </w:r>
      <w:r>
        <w:rPr>
          <w:spacing w:val="8"/>
        </w:rPr>
        <w:t> </w:t>
      </w:r>
      <w:r>
        <w:rPr/>
        <w:t>It</w:t>
      </w:r>
      <w:r>
        <w:rPr>
          <w:spacing w:val="10"/>
        </w:rPr>
        <w:t> </w:t>
      </w:r>
      <w:r>
        <w:rPr/>
        <w:t>was</w:t>
      </w:r>
      <w:r>
        <w:rPr>
          <w:spacing w:val="9"/>
        </w:rPr>
        <w:t> </w:t>
      </w:r>
      <w:r>
        <w:rPr/>
        <w:t>observed</w:t>
      </w:r>
      <w:r>
        <w:rPr>
          <w:spacing w:val="9"/>
        </w:rPr>
        <w:t> </w:t>
      </w:r>
      <w:r>
        <w:rPr/>
        <w:t>that</w:t>
      </w:r>
      <w:r>
        <w:rPr>
          <w:spacing w:val="9"/>
        </w:rPr>
        <w:t> </w:t>
      </w:r>
      <w:r>
        <w:rPr/>
        <w:t>soils</w:t>
      </w:r>
      <w:r>
        <w:rPr>
          <w:spacing w:val="9"/>
        </w:rPr>
        <w:t> </w:t>
      </w:r>
      <w:r>
        <w:rPr/>
        <w:t>with</w:t>
      </w:r>
      <w:r>
        <w:rPr>
          <w:spacing w:val="9"/>
        </w:rPr>
        <w:t> </w:t>
      </w:r>
      <w:r>
        <w:rPr/>
        <w:t>soil</w:t>
      </w:r>
      <w:r>
        <w:rPr>
          <w:spacing w:val="9"/>
        </w:rPr>
        <w:t> </w:t>
      </w:r>
      <w:r>
        <w:rPr/>
        <w:t>pH</w:t>
      </w:r>
      <w:r>
        <w:rPr>
          <w:spacing w:val="8"/>
        </w:rPr>
        <w:t> </w:t>
      </w:r>
      <w:r>
        <w:rPr>
          <w:spacing w:val="-2"/>
        </w:rPr>
        <w:t>below</w:t>
      </w:r>
    </w:p>
    <w:p>
      <w:pPr>
        <w:pStyle w:val="BodyText"/>
        <w:spacing w:before="1"/>
        <w:ind w:left="720"/>
        <w:jc w:val="both"/>
      </w:pPr>
      <w:r>
        <w:rPr/>
        <w:t>5.5</w:t>
      </w:r>
      <w:r>
        <w:rPr>
          <w:spacing w:val="-1"/>
        </w:rPr>
        <w:t> </w:t>
      </w:r>
      <w:r>
        <w:rPr/>
        <w:t>retain more P</w:t>
      </w:r>
      <w:r>
        <w:rPr>
          <w:spacing w:val="-1"/>
        </w:rPr>
        <w:t> </w:t>
      </w:r>
      <w:r>
        <w:rPr/>
        <w:t>than those above</w:t>
      </w:r>
      <w:r>
        <w:rPr>
          <w:spacing w:val="-1"/>
        </w:rPr>
        <w:t> </w:t>
      </w:r>
      <w:r>
        <w:rPr/>
        <w:t>soil pH </w:t>
      </w:r>
      <w:r>
        <w:rPr>
          <w:spacing w:val="-4"/>
        </w:rPr>
        <w:t>5.5.</w:t>
      </w:r>
    </w:p>
    <w:p>
      <w:pPr>
        <w:pStyle w:val="BodyText"/>
      </w:pPr>
    </w:p>
    <w:p>
      <w:pPr>
        <w:pStyle w:val="BodyText"/>
        <w:ind w:left="720"/>
      </w:pPr>
      <w:r>
        <w:rPr>
          <w:b/>
        </w:rPr>
        <w:t>Table</w:t>
      </w:r>
      <w:r>
        <w:rPr>
          <w:b/>
          <w:spacing w:val="-1"/>
        </w:rPr>
        <w:t> </w:t>
      </w:r>
      <w:r>
        <w:rPr>
          <w:b/>
        </w:rPr>
        <w:t>1.</w:t>
      </w:r>
      <w:r>
        <w:rPr>
          <w:b/>
          <w:spacing w:val="-1"/>
        </w:rPr>
        <w:t> </w:t>
      </w:r>
      <w:r>
        <w:rPr/>
        <w:t>Environmental</w:t>
      </w:r>
      <w:r>
        <w:rPr>
          <w:spacing w:val="-1"/>
        </w:rPr>
        <w:t> </w:t>
      </w:r>
      <w:r>
        <w:rPr/>
        <w:t>P</w:t>
      </w:r>
      <w:r>
        <w:rPr>
          <w:spacing w:val="-1"/>
        </w:rPr>
        <w:t> </w:t>
      </w:r>
      <w:r>
        <w:rPr/>
        <w:t>risk classes</w:t>
      </w:r>
      <w:r>
        <w:rPr>
          <w:spacing w:val="-1"/>
        </w:rPr>
        <w:t> </w:t>
      </w:r>
      <w:r>
        <w:rPr/>
        <w:t>for </w:t>
      </w:r>
      <w:r>
        <w:rPr>
          <w:spacing w:val="-4"/>
        </w:rPr>
        <w:t>PEI.</w:t>
      </w:r>
    </w:p>
    <w:p>
      <w:pPr>
        <w:pStyle w:val="BodyText"/>
        <w:spacing w:before="49"/>
        <w:rPr>
          <w:sz w:val="20"/>
        </w:rPr>
      </w:pPr>
    </w:p>
    <w:tbl>
      <w:tblPr>
        <w:tblW w:w="0" w:type="auto"/>
        <w:jc w:val="left"/>
        <w:tblInd w:w="7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86"/>
        <w:gridCol w:w="3168"/>
        <w:gridCol w:w="3040"/>
      </w:tblGrid>
      <w:tr>
        <w:trPr>
          <w:trHeight w:val="321" w:hRule="atLeast"/>
        </w:trPr>
        <w:tc>
          <w:tcPr>
            <w:tcW w:w="3186" w:type="dxa"/>
            <w:vMerge w:val="restart"/>
          </w:tcPr>
          <w:p>
            <w:pPr>
              <w:pStyle w:val="TableParagraph"/>
              <w:spacing w:line="240" w:lineRule="auto"/>
              <w:ind w:left="963"/>
              <w:jc w:val="left"/>
              <w:rPr>
                <w:b/>
                <w:sz w:val="28"/>
              </w:rPr>
            </w:pPr>
            <w:r>
              <w:rPr>
                <w:b/>
                <w:sz w:val="28"/>
              </w:rPr>
              <w:t>Risk</w:t>
            </w:r>
            <w:r>
              <w:rPr>
                <w:b/>
                <w:spacing w:val="-7"/>
                <w:sz w:val="28"/>
              </w:rPr>
              <w:t> </w:t>
            </w:r>
            <w:r>
              <w:rPr>
                <w:b/>
                <w:spacing w:val="-2"/>
                <w:sz w:val="28"/>
              </w:rPr>
              <w:t>Class</w:t>
            </w:r>
          </w:p>
        </w:tc>
        <w:tc>
          <w:tcPr>
            <w:tcW w:w="6208" w:type="dxa"/>
            <w:gridSpan w:val="2"/>
          </w:tcPr>
          <w:p>
            <w:pPr>
              <w:pStyle w:val="TableParagraph"/>
              <w:spacing w:line="301" w:lineRule="exact"/>
              <w:ind w:left="1384"/>
              <w:jc w:val="left"/>
              <w:rPr>
                <w:b/>
                <w:sz w:val="28"/>
              </w:rPr>
            </w:pPr>
            <w:r>
              <w:rPr>
                <w:b/>
                <w:sz w:val="28"/>
              </w:rPr>
              <w:t>P-Saturation</w:t>
            </w:r>
            <w:r>
              <w:rPr>
                <w:b/>
                <w:spacing w:val="-10"/>
                <w:sz w:val="28"/>
              </w:rPr>
              <w:t> </w:t>
            </w:r>
            <w:r>
              <w:rPr>
                <w:b/>
                <w:sz w:val="28"/>
              </w:rPr>
              <w:t>Index</w:t>
            </w:r>
            <w:r>
              <w:rPr>
                <w:b/>
                <w:spacing w:val="-10"/>
                <w:sz w:val="28"/>
              </w:rPr>
              <w:t> </w:t>
            </w:r>
            <w:r>
              <w:rPr>
                <w:b/>
                <w:sz w:val="28"/>
              </w:rPr>
              <w:t>(%</w:t>
            </w:r>
            <w:r>
              <w:rPr>
                <w:b/>
                <w:spacing w:val="-10"/>
                <w:sz w:val="28"/>
              </w:rPr>
              <w:t> </w:t>
            </w:r>
            <w:r>
              <w:rPr>
                <w:b/>
                <w:spacing w:val="-2"/>
                <w:sz w:val="28"/>
              </w:rPr>
              <w:t>P/Al)</w:t>
            </w:r>
          </w:p>
        </w:tc>
      </w:tr>
      <w:tr>
        <w:trPr>
          <w:trHeight w:val="321" w:hRule="atLeast"/>
        </w:trPr>
        <w:tc>
          <w:tcPr>
            <w:tcW w:w="3186" w:type="dxa"/>
            <w:vMerge/>
            <w:tcBorders>
              <w:top w:val="nil"/>
            </w:tcBorders>
          </w:tcPr>
          <w:p>
            <w:pPr>
              <w:rPr>
                <w:sz w:val="2"/>
                <w:szCs w:val="2"/>
              </w:rPr>
            </w:pPr>
          </w:p>
        </w:tc>
        <w:tc>
          <w:tcPr>
            <w:tcW w:w="3168" w:type="dxa"/>
            <w:tcBorders>
              <w:right w:val="nil"/>
            </w:tcBorders>
          </w:tcPr>
          <w:p>
            <w:pPr>
              <w:pStyle w:val="TableParagraph"/>
              <w:spacing w:line="301" w:lineRule="exact"/>
              <w:ind w:left="75"/>
              <w:rPr>
                <w:b/>
                <w:sz w:val="28"/>
              </w:rPr>
            </w:pPr>
            <w:r>
              <w:rPr>
                <w:b/>
                <w:sz w:val="28"/>
              </w:rPr>
              <w:t>For</w:t>
            </w:r>
            <w:r>
              <w:rPr>
                <w:b/>
                <w:spacing w:val="-6"/>
                <w:sz w:val="28"/>
              </w:rPr>
              <w:t> </w:t>
            </w:r>
            <w:r>
              <w:rPr>
                <w:b/>
                <w:sz w:val="28"/>
              </w:rPr>
              <w:t>soils</w:t>
            </w:r>
            <w:r>
              <w:rPr>
                <w:b/>
                <w:spacing w:val="-6"/>
                <w:sz w:val="28"/>
              </w:rPr>
              <w:t> </w:t>
            </w:r>
            <w:r>
              <w:rPr>
                <w:b/>
                <w:sz w:val="28"/>
              </w:rPr>
              <w:t>with</w:t>
            </w:r>
            <w:r>
              <w:rPr>
                <w:b/>
                <w:spacing w:val="-3"/>
                <w:sz w:val="28"/>
              </w:rPr>
              <w:t> </w:t>
            </w:r>
            <w:r>
              <w:rPr>
                <w:b/>
                <w:sz w:val="28"/>
              </w:rPr>
              <w:t>pH</w:t>
            </w:r>
            <w:r>
              <w:rPr>
                <w:b/>
                <w:spacing w:val="-4"/>
                <w:sz w:val="28"/>
              </w:rPr>
              <w:t> </w:t>
            </w:r>
            <w:r>
              <w:rPr>
                <w:b/>
                <w:sz w:val="28"/>
              </w:rPr>
              <w:t>&lt;</w:t>
            </w:r>
            <w:r>
              <w:rPr>
                <w:b/>
                <w:spacing w:val="-4"/>
                <w:sz w:val="28"/>
              </w:rPr>
              <w:t> </w:t>
            </w:r>
            <w:r>
              <w:rPr>
                <w:b/>
                <w:spacing w:val="-5"/>
                <w:sz w:val="28"/>
              </w:rPr>
              <w:t>5.5</w:t>
            </w:r>
          </w:p>
        </w:tc>
        <w:tc>
          <w:tcPr>
            <w:tcW w:w="3040" w:type="dxa"/>
            <w:tcBorders>
              <w:left w:val="nil"/>
            </w:tcBorders>
          </w:tcPr>
          <w:p>
            <w:pPr>
              <w:pStyle w:val="TableParagraph"/>
              <w:spacing w:line="301" w:lineRule="exact"/>
              <w:ind w:left="111" w:right="3"/>
              <w:rPr>
                <w:b/>
                <w:sz w:val="28"/>
              </w:rPr>
            </w:pPr>
            <w:r>
              <w:rPr>
                <w:b/>
                <w:sz w:val="28"/>
              </w:rPr>
              <w:t>For</w:t>
            </w:r>
            <w:r>
              <w:rPr>
                <w:b/>
                <w:spacing w:val="-6"/>
                <w:sz w:val="28"/>
              </w:rPr>
              <w:t> </w:t>
            </w:r>
            <w:r>
              <w:rPr>
                <w:b/>
                <w:sz w:val="28"/>
              </w:rPr>
              <w:t>soils</w:t>
            </w:r>
            <w:r>
              <w:rPr>
                <w:b/>
                <w:spacing w:val="-4"/>
                <w:sz w:val="28"/>
              </w:rPr>
              <w:t> </w:t>
            </w:r>
            <w:r>
              <w:rPr>
                <w:b/>
                <w:sz w:val="28"/>
              </w:rPr>
              <w:t>with</w:t>
            </w:r>
            <w:r>
              <w:rPr>
                <w:b/>
                <w:spacing w:val="-5"/>
                <w:sz w:val="28"/>
              </w:rPr>
              <w:t> </w:t>
            </w:r>
            <w:r>
              <w:rPr>
                <w:b/>
                <w:sz w:val="28"/>
              </w:rPr>
              <w:t>pH</w:t>
            </w:r>
            <w:r>
              <w:rPr>
                <w:b/>
                <w:spacing w:val="-4"/>
                <w:sz w:val="28"/>
              </w:rPr>
              <w:t> </w:t>
            </w:r>
            <w:r>
              <w:rPr>
                <w:b/>
                <w:sz w:val="28"/>
              </w:rPr>
              <w:t>&gt;</w:t>
            </w:r>
            <w:r>
              <w:rPr>
                <w:b/>
                <w:spacing w:val="-4"/>
                <w:sz w:val="28"/>
              </w:rPr>
              <w:t> </w:t>
            </w:r>
            <w:r>
              <w:rPr>
                <w:b/>
                <w:spacing w:val="-5"/>
                <w:sz w:val="28"/>
              </w:rPr>
              <w:t>5.5</w:t>
            </w:r>
          </w:p>
        </w:tc>
      </w:tr>
      <w:tr>
        <w:trPr>
          <w:trHeight w:val="277" w:hRule="atLeast"/>
        </w:trPr>
        <w:tc>
          <w:tcPr>
            <w:tcW w:w="3186" w:type="dxa"/>
            <w:tcBorders>
              <w:bottom w:val="nil"/>
            </w:tcBorders>
          </w:tcPr>
          <w:p>
            <w:pPr>
              <w:pStyle w:val="TableParagraph"/>
              <w:spacing w:line="258" w:lineRule="exact"/>
              <w:ind w:left="23"/>
              <w:rPr>
                <w:sz w:val="24"/>
              </w:rPr>
            </w:pPr>
            <w:r>
              <w:rPr>
                <w:sz w:val="24"/>
              </w:rPr>
              <w:t>Very Low </w:t>
            </w:r>
            <w:r>
              <w:rPr>
                <w:spacing w:val="-4"/>
                <w:sz w:val="24"/>
              </w:rPr>
              <w:t>Risk</w:t>
            </w:r>
          </w:p>
        </w:tc>
        <w:tc>
          <w:tcPr>
            <w:tcW w:w="3168" w:type="dxa"/>
            <w:tcBorders>
              <w:bottom w:val="nil"/>
              <w:right w:val="nil"/>
            </w:tcBorders>
          </w:tcPr>
          <w:p>
            <w:pPr>
              <w:pStyle w:val="TableParagraph"/>
              <w:spacing w:line="258" w:lineRule="exact"/>
              <w:ind w:left="75"/>
              <w:rPr>
                <w:sz w:val="24"/>
              </w:rPr>
            </w:pPr>
            <w:r>
              <w:rPr>
                <w:sz w:val="24"/>
              </w:rPr>
              <w:t>0-</w:t>
            </w:r>
            <w:r>
              <w:rPr>
                <w:spacing w:val="-10"/>
                <w:sz w:val="24"/>
              </w:rPr>
              <w:t>7</w:t>
            </w:r>
          </w:p>
        </w:tc>
        <w:tc>
          <w:tcPr>
            <w:tcW w:w="3040" w:type="dxa"/>
            <w:tcBorders>
              <w:left w:val="nil"/>
              <w:bottom w:val="nil"/>
            </w:tcBorders>
          </w:tcPr>
          <w:p>
            <w:pPr>
              <w:pStyle w:val="TableParagraph"/>
              <w:spacing w:line="258" w:lineRule="exact"/>
              <w:ind w:left="111" w:right="2"/>
              <w:rPr>
                <w:sz w:val="24"/>
              </w:rPr>
            </w:pPr>
            <w:r>
              <w:rPr>
                <w:sz w:val="24"/>
              </w:rPr>
              <w:t>0-</w:t>
            </w:r>
            <w:r>
              <w:rPr>
                <w:spacing w:val="-10"/>
                <w:sz w:val="24"/>
              </w:rPr>
              <w:t>4</w:t>
            </w:r>
          </w:p>
        </w:tc>
      </w:tr>
      <w:tr>
        <w:trPr>
          <w:trHeight w:val="276" w:hRule="atLeast"/>
        </w:trPr>
        <w:tc>
          <w:tcPr>
            <w:tcW w:w="3186" w:type="dxa"/>
            <w:tcBorders>
              <w:top w:val="nil"/>
              <w:bottom w:val="nil"/>
            </w:tcBorders>
          </w:tcPr>
          <w:p>
            <w:pPr>
              <w:pStyle w:val="TableParagraph"/>
              <w:ind w:left="23" w:right="1"/>
              <w:rPr>
                <w:sz w:val="24"/>
              </w:rPr>
            </w:pPr>
            <w:r>
              <w:rPr>
                <w:sz w:val="24"/>
              </w:rPr>
              <w:t>Low</w:t>
            </w:r>
            <w:r>
              <w:rPr>
                <w:spacing w:val="-1"/>
                <w:sz w:val="24"/>
              </w:rPr>
              <w:t> </w:t>
            </w:r>
            <w:r>
              <w:rPr>
                <w:spacing w:val="-4"/>
                <w:sz w:val="24"/>
              </w:rPr>
              <w:t>Risk</w:t>
            </w:r>
          </w:p>
        </w:tc>
        <w:tc>
          <w:tcPr>
            <w:tcW w:w="3168" w:type="dxa"/>
            <w:tcBorders>
              <w:top w:val="nil"/>
              <w:bottom w:val="nil"/>
              <w:right w:val="nil"/>
            </w:tcBorders>
          </w:tcPr>
          <w:p>
            <w:pPr>
              <w:pStyle w:val="TableParagraph"/>
              <w:ind w:left="75"/>
              <w:rPr>
                <w:sz w:val="24"/>
              </w:rPr>
            </w:pPr>
            <w:r>
              <w:rPr>
                <w:sz w:val="24"/>
              </w:rPr>
              <w:t>7-</w:t>
            </w:r>
            <w:r>
              <w:rPr>
                <w:spacing w:val="-5"/>
                <w:sz w:val="24"/>
              </w:rPr>
              <w:t>11</w:t>
            </w:r>
          </w:p>
        </w:tc>
        <w:tc>
          <w:tcPr>
            <w:tcW w:w="3040" w:type="dxa"/>
            <w:tcBorders>
              <w:top w:val="nil"/>
              <w:left w:val="nil"/>
              <w:bottom w:val="nil"/>
            </w:tcBorders>
          </w:tcPr>
          <w:p>
            <w:pPr>
              <w:pStyle w:val="TableParagraph"/>
              <w:ind w:left="111"/>
              <w:rPr>
                <w:sz w:val="24"/>
              </w:rPr>
            </w:pPr>
            <w:r>
              <w:rPr>
                <w:sz w:val="24"/>
              </w:rPr>
              <w:t>&gt;4-</w:t>
            </w:r>
            <w:r>
              <w:rPr>
                <w:spacing w:val="-10"/>
                <w:sz w:val="24"/>
              </w:rPr>
              <w:t>7</w:t>
            </w:r>
          </w:p>
        </w:tc>
      </w:tr>
      <w:tr>
        <w:trPr>
          <w:trHeight w:val="276" w:hRule="atLeast"/>
        </w:trPr>
        <w:tc>
          <w:tcPr>
            <w:tcW w:w="3186" w:type="dxa"/>
            <w:tcBorders>
              <w:top w:val="nil"/>
              <w:bottom w:val="nil"/>
            </w:tcBorders>
          </w:tcPr>
          <w:p>
            <w:pPr>
              <w:pStyle w:val="TableParagraph"/>
              <w:ind w:left="23" w:right="2"/>
              <w:rPr>
                <w:sz w:val="24"/>
              </w:rPr>
            </w:pPr>
            <w:r>
              <w:rPr>
                <w:sz w:val="24"/>
              </w:rPr>
              <w:t>Moderate</w:t>
            </w:r>
            <w:r>
              <w:rPr>
                <w:spacing w:val="-2"/>
                <w:sz w:val="24"/>
              </w:rPr>
              <w:t> </w:t>
            </w:r>
            <w:r>
              <w:rPr>
                <w:spacing w:val="-4"/>
                <w:sz w:val="24"/>
              </w:rPr>
              <w:t>Risk</w:t>
            </w:r>
          </w:p>
        </w:tc>
        <w:tc>
          <w:tcPr>
            <w:tcW w:w="3168" w:type="dxa"/>
            <w:tcBorders>
              <w:top w:val="nil"/>
              <w:bottom w:val="nil"/>
              <w:right w:val="nil"/>
            </w:tcBorders>
          </w:tcPr>
          <w:p>
            <w:pPr>
              <w:pStyle w:val="TableParagraph"/>
              <w:ind w:left="75"/>
              <w:rPr>
                <w:sz w:val="24"/>
              </w:rPr>
            </w:pPr>
            <w:r>
              <w:rPr>
                <w:sz w:val="24"/>
              </w:rPr>
              <w:t>11-</w:t>
            </w:r>
            <w:r>
              <w:rPr>
                <w:spacing w:val="-5"/>
                <w:sz w:val="24"/>
              </w:rPr>
              <w:t>19</w:t>
            </w:r>
          </w:p>
        </w:tc>
        <w:tc>
          <w:tcPr>
            <w:tcW w:w="3040" w:type="dxa"/>
            <w:tcBorders>
              <w:top w:val="nil"/>
              <w:left w:val="nil"/>
              <w:bottom w:val="nil"/>
            </w:tcBorders>
          </w:tcPr>
          <w:p>
            <w:pPr>
              <w:pStyle w:val="TableParagraph"/>
              <w:ind w:left="111"/>
              <w:rPr>
                <w:sz w:val="24"/>
              </w:rPr>
            </w:pPr>
            <w:r>
              <w:rPr>
                <w:sz w:val="24"/>
              </w:rPr>
              <w:t>&gt;7-</w:t>
            </w:r>
            <w:r>
              <w:rPr>
                <w:spacing w:val="-5"/>
                <w:sz w:val="24"/>
              </w:rPr>
              <w:t>14</w:t>
            </w:r>
          </w:p>
        </w:tc>
      </w:tr>
      <w:tr>
        <w:trPr>
          <w:trHeight w:val="275" w:hRule="atLeast"/>
        </w:trPr>
        <w:tc>
          <w:tcPr>
            <w:tcW w:w="3186" w:type="dxa"/>
            <w:tcBorders>
              <w:top w:val="nil"/>
              <w:bottom w:val="nil"/>
            </w:tcBorders>
          </w:tcPr>
          <w:p>
            <w:pPr>
              <w:pStyle w:val="TableParagraph"/>
              <w:ind w:left="23" w:right="1"/>
              <w:rPr>
                <w:sz w:val="24"/>
              </w:rPr>
            </w:pPr>
            <w:r>
              <w:rPr>
                <w:sz w:val="24"/>
              </w:rPr>
              <w:t>High </w:t>
            </w:r>
            <w:r>
              <w:rPr>
                <w:spacing w:val="-4"/>
                <w:sz w:val="24"/>
              </w:rPr>
              <w:t>Risk</w:t>
            </w:r>
          </w:p>
        </w:tc>
        <w:tc>
          <w:tcPr>
            <w:tcW w:w="3168" w:type="dxa"/>
            <w:tcBorders>
              <w:top w:val="nil"/>
              <w:bottom w:val="nil"/>
              <w:right w:val="nil"/>
            </w:tcBorders>
          </w:tcPr>
          <w:p>
            <w:pPr>
              <w:pStyle w:val="TableParagraph"/>
              <w:ind w:left="75"/>
              <w:rPr>
                <w:sz w:val="24"/>
              </w:rPr>
            </w:pPr>
            <w:r>
              <w:rPr>
                <w:sz w:val="24"/>
              </w:rPr>
              <w:t>19-</w:t>
            </w:r>
            <w:r>
              <w:rPr>
                <w:spacing w:val="-5"/>
                <w:sz w:val="24"/>
              </w:rPr>
              <w:t>21</w:t>
            </w:r>
          </w:p>
        </w:tc>
        <w:tc>
          <w:tcPr>
            <w:tcW w:w="3040" w:type="dxa"/>
            <w:tcBorders>
              <w:top w:val="nil"/>
              <w:left w:val="nil"/>
              <w:bottom w:val="nil"/>
            </w:tcBorders>
          </w:tcPr>
          <w:p>
            <w:pPr>
              <w:pStyle w:val="TableParagraph"/>
              <w:ind w:left="111"/>
              <w:rPr>
                <w:sz w:val="24"/>
              </w:rPr>
            </w:pPr>
            <w:r>
              <w:rPr>
                <w:sz w:val="24"/>
              </w:rPr>
              <w:t>&gt;14-</w:t>
            </w:r>
            <w:r>
              <w:rPr>
                <w:spacing w:val="-5"/>
                <w:sz w:val="24"/>
              </w:rPr>
              <w:t>16</w:t>
            </w:r>
          </w:p>
        </w:tc>
      </w:tr>
      <w:tr>
        <w:trPr>
          <w:trHeight w:val="276" w:hRule="atLeast"/>
        </w:trPr>
        <w:tc>
          <w:tcPr>
            <w:tcW w:w="3186" w:type="dxa"/>
            <w:tcBorders>
              <w:top w:val="nil"/>
              <w:bottom w:val="nil"/>
            </w:tcBorders>
          </w:tcPr>
          <w:p>
            <w:pPr>
              <w:pStyle w:val="TableParagraph"/>
              <w:ind w:left="23" w:right="2"/>
              <w:rPr>
                <w:sz w:val="24"/>
              </w:rPr>
            </w:pPr>
            <w:r>
              <w:rPr>
                <w:sz w:val="24"/>
              </w:rPr>
              <w:t>Very High </w:t>
            </w:r>
            <w:r>
              <w:rPr>
                <w:spacing w:val="-4"/>
                <w:sz w:val="24"/>
              </w:rPr>
              <w:t>Risk</w:t>
            </w:r>
          </w:p>
        </w:tc>
        <w:tc>
          <w:tcPr>
            <w:tcW w:w="3168" w:type="dxa"/>
            <w:tcBorders>
              <w:top w:val="nil"/>
              <w:bottom w:val="nil"/>
              <w:right w:val="nil"/>
            </w:tcBorders>
          </w:tcPr>
          <w:p>
            <w:pPr>
              <w:pStyle w:val="TableParagraph"/>
              <w:ind w:left="75"/>
              <w:rPr>
                <w:sz w:val="24"/>
              </w:rPr>
            </w:pPr>
            <w:r>
              <w:rPr>
                <w:sz w:val="24"/>
              </w:rPr>
              <w:t>21-</w:t>
            </w:r>
            <w:r>
              <w:rPr>
                <w:spacing w:val="-5"/>
                <w:sz w:val="24"/>
              </w:rPr>
              <w:t>30</w:t>
            </w:r>
          </w:p>
        </w:tc>
        <w:tc>
          <w:tcPr>
            <w:tcW w:w="3040" w:type="dxa"/>
            <w:tcBorders>
              <w:top w:val="nil"/>
              <w:left w:val="nil"/>
              <w:bottom w:val="nil"/>
            </w:tcBorders>
          </w:tcPr>
          <w:p>
            <w:pPr>
              <w:pStyle w:val="TableParagraph"/>
              <w:ind w:left="111"/>
              <w:rPr>
                <w:sz w:val="24"/>
              </w:rPr>
            </w:pPr>
            <w:r>
              <w:rPr>
                <w:sz w:val="24"/>
              </w:rPr>
              <w:t>&gt;16-</w:t>
            </w:r>
            <w:r>
              <w:rPr>
                <w:spacing w:val="-5"/>
                <w:sz w:val="24"/>
              </w:rPr>
              <w:t>23</w:t>
            </w:r>
          </w:p>
        </w:tc>
      </w:tr>
      <w:tr>
        <w:trPr>
          <w:trHeight w:val="274" w:hRule="atLeast"/>
        </w:trPr>
        <w:tc>
          <w:tcPr>
            <w:tcW w:w="3186" w:type="dxa"/>
            <w:tcBorders>
              <w:top w:val="nil"/>
            </w:tcBorders>
          </w:tcPr>
          <w:p>
            <w:pPr>
              <w:pStyle w:val="TableParagraph"/>
              <w:spacing w:line="254" w:lineRule="exact"/>
              <w:ind w:left="23" w:right="2"/>
              <w:rPr>
                <w:sz w:val="24"/>
              </w:rPr>
            </w:pPr>
            <w:r>
              <w:rPr>
                <w:sz w:val="24"/>
              </w:rPr>
              <w:t>Extremely</w:t>
            </w:r>
            <w:r>
              <w:rPr>
                <w:spacing w:val="-1"/>
                <w:sz w:val="24"/>
              </w:rPr>
              <w:t> </w:t>
            </w:r>
            <w:r>
              <w:rPr>
                <w:sz w:val="24"/>
              </w:rPr>
              <w:t>High</w:t>
            </w:r>
            <w:r>
              <w:rPr>
                <w:spacing w:val="-1"/>
                <w:sz w:val="24"/>
              </w:rPr>
              <w:t> </w:t>
            </w:r>
            <w:r>
              <w:rPr>
                <w:spacing w:val="-4"/>
                <w:sz w:val="24"/>
              </w:rPr>
              <w:t>Risk</w:t>
            </w:r>
          </w:p>
        </w:tc>
        <w:tc>
          <w:tcPr>
            <w:tcW w:w="3168" w:type="dxa"/>
            <w:tcBorders>
              <w:top w:val="nil"/>
              <w:right w:val="nil"/>
            </w:tcBorders>
          </w:tcPr>
          <w:p>
            <w:pPr>
              <w:pStyle w:val="TableParagraph"/>
              <w:spacing w:line="254" w:lineRule="exact"/>
              <w:ind w:left="75"/>
              <w:rPr>
                <w:sz w:val="24"/>
              </w:rPr>
            </w:pPr>
            <w:r>
              <w:rPr>
                <w:spacing w:val="-5"/>
                <w:sz w:val="24"/>
              </w:rPr>
              <w:t>&gt;30</w:t>
            </w:r>
          </w:p>
        </w:tc>
        <w:tc>
          <w:tcPr>
            <w:tcW w:w="3040" w:type="dxa"/>
            <w:tcBorders>
              <w:top w:val="nil"/>
              <w:left w:val="nil"/>
            </w:tcBorders>
          </w:tcPr>
          <w:p>
            <w:pPr>
              <w:pStyle w:val="TableParagraph"/>
              <w:spacing w:line="254" w:lineRule="exact"/>
              <w:ind w:left="111" w:right="2"/>
              <w:rPr>
                <w:sz w:val="24"/>
              </w:rPr>
            </w:pPr>
            <w:r>
              <w:rPr>
                <w:spacing w:val="-5"/>
                <w:sz w:val="24"/>
              </w:rPr>
              <w:t>&gt;23</w:t>
            </w:r>
          </w:p>
        </w:tc>
      </w:tr>
    </w:tbl>
    <w:p>
      <w:pPr>
        <w:pStyle w:val="BodyText"/>
        <w:spacing w:before="160"/>
      </w:pPr>
    </w:p>
    <w:p>
      <w:pPr>
        <w:pStyle w:val="BodyText"/>
        <w:ind w:left="720" w:right="785" w:firstLine="720"/>
      </w:pPr>
      <w:r>
        <w:rPr/>
        <w:t>An</w:t>
      </w:r>
      <w:r>
        <w:rPr>
          <w:spacing w:val="-5"/>
        </w:rPr>
        <w:t> </w:t>
      </w:r>
      <w:r>
        <w:rPr/>
        <w:t>agronomic</w:t>
      </w:r>
      <w:r>
        <w:rPr>
          <w:spacing w:val="-4"/>
        </w:rPr>
        <w:t> </w:t>
      </w:r>
      <w:r>
        <w:rPr/>
        <w:t>index</w:t>
      </w:r>
      <w:r>
        <w:rPr>
          <w:spacing w:val="-4"/>
        </w:rPr>
        <w:t> </w:t>
      </w:r>
      <w:r>
        <w:rPr/>
        <w:t>has</w:t>
      </w:r>
      <w:r>
        <w:rPr>
          <w:spacing w:val="-4"/>
        </w:rPr>
        <w:t> </w:t>
      </w:r>
      <w:r>
        <w:rPr/>
        <w:t>since</w:t>
      </w:r>
      <w:r>
        <w:rPr>
          <w:spacing w:val="-4"/>
        </w:rPr>
        <w:t> </w:t>
      </w:r>
      <w:r>
        <w:rPr/>
        <w:t>been</w:t>
      </w:r>
      <w:r>
        <w:rPr>
          <w:spacing w:val="-4"/>
        </w:rPr>
        <w:t> </w:t>
      </w:r>
      <w:r>
        <w:rPr/>
        <w:t>developed</w:t>
      </w:r>
      <w:r>
        <w:rPr>
          <w:spacing w:val="-5"/>
        </w:rPr>
        <w:t> </w:t>
      </w:r>
      <w:r>
        <w:rPr/>
        <w:t>to</w:t>
      </w:r>
      <w:r>
        <w:rPr>
          <w:spacing w:val="-5"/>
        </w:rPr>
        <w:t> </w:t>
      </w:r>
      <w:r>
        <w:rPr/>
        <w:t>provide</w:t>
      </w:r>
      <w:r>
        <w:rPr>
          <w:spacing w:val="-4"/>
        </w:rPr>
        <w:t> </w:t>
      </w:r>
      <w:r>
        <w:rPr/>
        <w:t>updated</w:t>
      </w:r>
      <w:r>
        <w:rPr>
          <w:spacing w:val="-4"/>
        </w:rPr>
        <w:t> </w:t>
      </w:r>
      <w:r>
        <w:rPr/>
        <w:t>crop</w:t>
      </w:r>
      <w:r>
        <w:rPr>
          <w:spacing w:val="-4"/>
        </w:rPr>
        <w:t> </w:t>
      </w:r>
      <w:r>
        <w:rPr/>
        <w:t>recommendations for potato varieties to better reflect crop uptake in PEI soils. Phosphorus availability to crops in acidic soils is based on a </w:t>
      </w:r>
      <w:r>
        <w:rPr>
          <w:u w:val="single"/>
        </w:rPr>
        <w:t>P-Saturation Index</w:t>
      </w:r>
      <w:r>
        <w:rPr/>
        <w:t>, which is derived from a function of the total amount of soil P (in ppm) by the total amount of aluminium within the soil. The P-Saturation Index is reported on the bottom left hand side of the PEI Analytical Laboratories soil report as </w:t>
      </w:r>
      <w:r>
        <w:rPr>
          <w:u w:val="single"/>
        </w:rPr>
        <w:t>“% P/Al”</w:t>
      </w:r>
      <w:r>
        <w:rPr/>
        <w:t>. All P, aluminum (Al) and iron (Fe) elements are extracted with Mehlich-3 extraction solution at the PEI Analytical Laboratory (PEIAL). See P Saturation Index equation below.</w:t>
      </w:r>
    </w:p>
    <w:p>
      <w:pPr>
        <w:pStyle w:val="BodyText"/>
        <w:spacing w:after="0"/>
        <w:sectPr>
          <w:type w:val="continuous"/>
          <w:pgSz w:w="12240" w:h="15840"/>
          <w:pgMar w:top="640" w:bottom="280" w:left="720" w:right="720"/>
        </w:sectPr>
      </w:pPr>
    </w:p>
    <w:p>
      <w:pPr>
        <w:pStyle w:val="BodyText"/>
        <w:rPr>
          <w:sz w:val="20"/>
        </w:rPr>
      </w:pPr>
    </w:p>
    <w:p>
      <w:pPr>
        <w:pStyle w:val="BodyText"/>
        <w:spacing w:before="212"/>
        <w:rPr>
          <w:sz w:val="20"/>
        </w:rPr>
      </w:pPr>
    </w:p>
    <w:p>
      <w:pPr>
        <w:pStyle w:val="BodyText"/>
        <w:spacing w:after="0"/>
        <w:rPr>
          <w:sz w:val="20"/>
        </w:rPr>
        <w:sectPr>
          <w:headerReference w:type="default" r:id="rId7"/>
          <w:pgSz w:w="12240" w:h="15840"/>
          <w:pgMar w:header="752" w:footer="0" w:top="960" w:bottom="280" w:left="720" w:right="720"/>
        </w:sectPr>
      </w:pPr>
    </w:p>
    <w:p>
      <w:pPr>
        <w:pStyle w:val="BodyText"/>
        <w:spacing w:before="8"/>
        <w:rPr>
          <w:sz w:val="22"/>
        </w:rPr>
      </w:pPr>
    </w:p>
    <w:p>
      <w:pPr>
        <w:tabs>
          <w:tab w:pos="5264" w:val="left" w:leader="none"/>
        </w:tabs>
        <w:spacing w:before="0"/>
        <w:ind w:left="2880" w:right="0" w:firstLine="0"/>
        <w:jc w:val="left"/>
        <w:rPr>
          <w:sz w:val="22"/>
        </w:rPr>
      </w:pPr>
      <w:r>
        <w:rPr>
          <w:sz w:val="22"/>
        </w:rPr>
        <mc:AlternateContent>
          <mc:Choice Requires="wps">
            <w:drawing>
              <wp:anchor distT="0" distB="0" distL="0" distR="0" allowOverlap="1" layoutInCell="1" locked="0" behindDoc="0" simplePos="0" relativeHeight="15730176">
                <wp:simplePos x="0" y="0"/>
                <wp:positionH relativeFrom="page">
                  <wp:posOffset>4064000</wp:posOffset>
                </wp:positionH>
                <wp:positionV relativeFrom="paragraph">
                  <wp:posOffset>66903</wp:posOffset>
                </wp:positionV>
                <wp:extent cx="621030" cy="1333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21030" cy="13335"/>
                        </a:xfrm>
                        <a:custGeom>
                          <a:avLst/>
                          <a:gdLst/>
                          <a:ahLst/>
                          <a:cxnLst/>
                          <a:rect l="l" t="t" r="r" b="b"/>
                          <a:pathLst>
                            <a:path w="621030" h="13335">
                              <a:moveTo>
                                <a:pt x="620522" y="0"/>
                              </a:moveTo>
                              <a:lnTo>
                                <a:pt x="0" y="0"/>
                              </a:lnTo>
                              <a:lnTo>
                                <a:pt x="0" y="12953"/>
                              </a:lnTo>
                              <a:lnTo>
                                <a:pt x="620522" y="12953"/>
                              </a:lnTo>
                              <a:lnTo>
                                <a:pt x="6205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pt;margin-top:5.268027pt;width:48.86pt;height:1.02pt;mso-position-horizontal-relative:page;mso-position-vertical-relative:paragraph;z-index:15730176" id="docshape3" filled="true" fillcolor="#000000" stroked="false">
                <v:fill type="solid"/>
                <w10:wrap type="none"/>
              </v:rect>
            </w:pict>
          </mc:Fallback>
        </mc:AlternateContent>
      </w:r>
      <w:r>
        <w:rPr>
          <w:sz w:val="22"/>
        </w:rPr>
        <w:t>P-Saturation</w:t>
      </w:r>
      <w:r>
        <w:rPr>
          <w:spacing w:val="-11"/>
          <w:sz w:val="22"/>
        </w:rPr>
        <w:t> </w:t>
      </w:r>
      <w:r>
        <w:rPr>
          <w:sz w:val="22"/>
        </w:rPr>
        <w:t>Index</w:t>
      </w:r>
      <w:r>
        <w:rPr>
          <w:sz w:val="22"/>
          <w:vertAlign w:val="subscript"/>
        </w:rPr>
        <w:t>1</w:t>
      </w:r>
      <w:r>
        <w:rPr>
          <w:spacing w:val="-8"/>
          <w:sz w:val="22"/>
          <w:vertAlign w:val="baseline"/>
        </w:rPr>
        <w:t> </w:t>
      </w:r>
      <w:r>
        <w:rPr>
          <w:spacing w:val="-5"/>
          <w:sz w:val="22"/>
          <w:vertAlign w:val="baseline"/>
        </w:rPr>
        <w:t>(%)</w:t>
      </w:r>
      <w:r>
        <w:rPr>
          <w:sz w:val="22"/>
          <w:vertAlign w:val="baseline"/>
        </w:rPr>
        <w:tab/>
      </w:r>
      <w:r>
        <w:rPr>
          <w:spacing w:val="-10"/>
          <w:sz w:val="22"/>
          <w:vertAlign w:val="baseline"/>
        </w:rPr>
        <w:t>=</w:t>
      </w:r>
    </w:p>
    <w:p>
      <w:pPr>
        <w:spacing w:line="300" w:lineRule="auto" w:before="61"/>
        <w:ind w:left="251" w:right="0" w:firstLine="78"/>
        <w:jc w:val="left"/>
        <w:rPr>
          <w:rFonts w:ascii="Cambria Math"/>
          <w:position w:val="1"/>
          <w:sz w:val="23"/>
        </w:rPr>
      </w:pPr>
      <w:r>
        <w:rPr/>
        <w:br w:type="column"/>
      </w:r>
      <w:r>
        <w:rPr>
          <w:rFonts w:ascii="Cambria Math"/>
          <w:w w:val="105"/>
          <w:sz w:val="23"/>
        </w:rPr>
        <w:t>P (ppm) </w:t>
      </w:r>
      <w:r>
        <w:rPr>
          <w:rFonts w:ascii="Cambria Math"/>
          <w:w w:val="105"/>
          <w:position w:val="1"/>
          <w:sz w:val="23"/>
        </w:rPr>
        <w:t>(</w:t>
      </w:r>
      <w:r>
        <w:rPr>
          <w:rFonts w:ascii="Cambria Math"/>
          <w:w w:val="105"/>
          <w:sz w:val="23"/>
        </w:rPr>
        <w:t>Al</w:t>
      </w:r>
      <w:r>
        <w:rPr>
          <w:rFonts w:ascii="Cambria Math"/>
          <w:spacing w:val="-1"/>
          <w:w w:val="105"/>
          <w:sz w:val="23"/>
        </w:rPr>
        <w:t> </w:t>
      </w:r>
      <w:r>
        <w:rPr>
          <w:rFonts w:ascii="Cambria Math"/>
          <w:w w:val="105"/>
          <w:sz w:val="23"/>
        </w:rPr>
        <w:t>ppm</w:t>
      </w:r>
      <w:r>
        <w:rPr>
          <w:rFonts w:ascii="Cambria Math"/>
          <w:w w:val="105"/>
          <w:position w:val="1"/>
          <w:sz w:val="23"/>
        </w:rPr>
        <w:t>)</w:t>
      </w:r>
    </w:p>
    <w:p>
      <w:pPr>
        <w:pStyle w:val="BodyText"/>
        <w:spacing w:before="243"/>
        <w:ind w:left="137"/>
      </w:pPr>
      <w:r>
        <w:rPr/>
        <w:br w:type="column"/>
      </w:r>
      <w:r>
        <w:rPr/>
        <w:t>x </w:t>
      </w:r>
      <w:r>
        <w:rPr>
          <w:spacing w:val="-5"/>
        </w:rPr>
        <w:t>100</w:t>
      </w:r>
    </w:p>
    <w:p>
      <w:pPr>
        <w:pStyle w:val="BodyText"/>
        <w:spacing w:after="0"/>
        <w:sectPr>
          <w:type w:val="continuous"/>
          <w:pgSz w:w="12240" w:h="15840"/>
          <w:pgMar w:header="752" w:footer="0" w:top="640" w:bottom="280" w:left="720" w:right="720"/>
          <w:cols w:num="3" w:equalWidth="0">
            <w:col w:w="5389" w:space="40"/>
            <w:col w:w="1230" w:space="39"/>
            <w:col w:w="4102"/>
          </w:cols>
        </w:sectPr>
      </w:pPr>
    </w:p>
    <w:p>
      <w:pPr>
        <w:pStyle w:val="BodyText"/>
        <w:spacing w:before="206"/>
        <w:ind w:left="720" w:right="785" w:firstLine="720"/>
      </w:pPr>
      <w:r>
        <w:rPr>
          <w:b/>
        </w:rPr>
        <w:t>Note: </w:t>
      </w:r>
      <w:r>
        <w:rPr/>
        <w:t>The P value used within the P-Saturation Index equation is calculated using elemental</w:t>
      </w:r>
      <w:r>
        <w:rPr>
          <w:spacing w:val="-3"/>
        </w:rPr>
        <w:t> </w:t>
      </w:r>
      <w:r>
        <w:rPr/>
        <w:t>P.</w:t>
      </w:r>
      <w:r>
        <w:rPr>
          <w:spacing w:val="-3"/>
        </w:rPr>
        <w:t> </w:t>
      </w:r>
      <w:r>
        <w:rPr/>
        <w:t>To</w:t>
      </w:r>
      <w:r>
        <w:rPr>
          <w:spacing w:val="-3"/>
        </w:rPr>
        <w:t> </w:t>
      </w:r>
      <w:r>
        <w:rPr/>
        <w:t>convert</w:t>
      </w:r>
      <w:r>
        <w:rPr>
          <w:spacing w:val="-4"/>
        </w:rPr>
        <w:t> </w:t>
      </w:r>
      <w:r>
        <w:rPr/>
        <w:t>the</w:t>
      </w:r>
      <w:r>
        <w:rPr>
          <w:spacing w:val="-3"/>
        </w:rPr>
        <w:t> </w:t>
      </w:r>
      <w:r>
        <w:rPr/>
        <w:t>P</w:t>
      </w:r>
      <w:r>
        <w:rPr>
          <w:vertAlign w:val="subscript"/>
        </w:rPr>
        <w:t>2</w:t>
      </w:r>
      <w:r>
        <w:rPr>
          <w:vertAlign w:val="baseline"/>
        </w:rPr>
        <w:t>O</w:t>
      </w:r>
      <w:r>
        <w:rPr>
          <w:vertAlign w:val="subscript"/>
        </w:rPr>
        <w:t>5</w:t>
      </w:r>
      <w:r>
        <w:rPr>
          <w:spacing w:val="-3"/>
          <w:vertAlign w:val="baseline"/>
        </w:rPr>
        <w:t> </w:t>
      </w:r>
      <w:r>
        <w:rPr>
          <w:vertAlign w:val="baseline"/>
        </w:rPr>
        <w:t>value</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PEIAL</w:t>
      </w:r>
      <w:r>
        <w:rPr>
          <w:spacing w:val="-3"/>
          <w:vertAlign w:val="baseline"/>
        </w:rPr>
        <w:t> </w:t>
      </w:r>
      <w:r>
        <w:rPr>
          <w:vertAlign w:val="baseline"/>
        </w:rPr>
        <w:t>soil</w:t>
      </w:r>
      <w:r>
        <w:rPr>
          <w:spacing w:val="-3"/>
          <w:vertAlign w:val="baseline"/>
        </w:rPr>
        <w:t> </w:t>
      </w:r>
      <w:r>
        <w:rPr>
          <w:vertAlign w:val="baseline"/>
        </w:rPr>
        <w:t>report</w:t>
      </w:r>
      <w:r>
        <w:rPr>
          <w:spacing w:val="-3"/>
          <w:vertAlign w:val="baseline"/>
        </w:rPr>
        <w:t> </w:t>
      </w:r>
      <w:r>
        <w:rPr>
          <w:vertAlign w:val="baseline"/>
        </w:rPr>
        <w:t>to</w:t>
      </w:r>
      <w:r>
        <w:rPr>
          <w:spacing w:val="-4"/>
          <w:vertAlign w:val="baseline"/>
        </w:rPr>
        <w:t> </w:t>
      </w:r>
      <w:r>
        <w:rPr>
          <w:vertAlign w:val="baseline"/>
        </w:rPr>
        <w:t>elemental</w:t>
      </w:r>
      <w:r>
        <w:rPr>
          <w:spacing w:val="-3"/>
          <w:vertAlign w:val="baseline"/>
        </w:rPr>
        <w:t> </w:t>
      </w:r>
      <w:r>
        <w:rPr>
          <w:vertAlign w:val="baseline"/>
        </w:rPr>
        <w:t>P,</w:t>
      </w:r>
      <w:r>
        <w:rPr>
          <w:spacing w:val="-3"/>
          <w:vertAlign w:val="baseline"/>
        </w:rPr>
        <w:t> </w:t>
      </w:r>
      <w:r>
        <w:rPr>
          <w:vertAlign w:val="baseline"/>
        </w:rPr>
        <w:t>multiply</w:t>
      </w:r>
      <w:r>
        <w:rPr>
          <w:spacing w:val="-3"/>
          <w:vertAlign w:val="baseline"/>
        </w:rPr>
        <w:t> </w:t>
      </w:r>
      <w:r>
        <w:rPr>
          <w:vertAlign w:val="baseline"/>
        </w:rPr>
        <w:t>the P</w:t>
      </w:r>
      <w:r>
        <w:rPr>
          <w:vertAlign w:val="subscript"/>
        </w:rPr>
        <w:t>2</w:t>
      </w:r>
      <w:r>
        <w:rPr>
          <w:vertAlign w:val="baseline"/>
        </w:rPr>
        <w:t>O</w:t>
      </w:r>
      <w:r>
        <w:rPr>
          <w:vertAlign w:val="subscript"/>
        </w:rPr>
        <w:t>5</w:t>
      </w:r>
      <w:r>
        <w:rPr>
          <w:vertAlign w:val="baseline"/>
        </w:rPr>
        <w:t> value on the report by 0.436.</w:t>
      </w:r>
    </w:p>
    <w:p>
      <w:pPr>
        <w:pStyle w:val="BodyText"/>
      </w:pPr>
    </w:p>
    <w:p>
      <w:pPr>
        <w:pStyle w:val="BodyText"/>
        <w:ind w:left="720" w:right="715" w:firstLine="720"/>
        <w:jc w:val="both"/>
      </w:pPr>
      <w:r>
        <w:rPr/>
        <w:t>Iron</w:t>
      </w:r>
      <w:r>
        <w:rPr>
          <w:spacing w:val="-8"/>
        </w:rPr>
        <w:t> </w:t>
      </w:r>
      <w:r>
        <w:rPr/>
        <w:t>is sometimes included in calculating the P-Saturation index (see P-Saturation</w:t>
      </w:r>
      <w:r>
        <w:rPr>
          <w:spacing w:val="-15"/>
        </w:rPr>
        <w:t> </w:t>
      </w:r>
      <w:r>
        <w:rPr/>
        <w:t>Index</w:t>
      </w:r>
      <w:r>
        <w:rPr>
          <w:vertAlign w:val="subscript"/>
        </w:rPr>
        <w:t>2</w:t>
      </w:r>
      <w:r>
        <w:rPr>
          <w:vertAlign w:val="baseline"/>
        </w:rPr>
        <w:t>, below) for soils that are very acidic (such as those found in Quebec used to grow cranberries) or for peat or boggy soils. In PEI, the relationships between P-Saturation Index</w:t>
      </w:r>
      <w:r>
        <w:rPr>
          <w:vertAlign w:val="subscript"/>
        </w:rPr>
        <w:t>1</w:t>
      </w:r>
      <w:r>
        <w:rPr>
          <w:vertAlign w:val="baseline"/>
        </w:rPr>
        <w:t> (without Iron) and P-Saturation Index</w:t>
      </w:r>
      <w:r>
        <w:rPr>
          <w:vertAlign w:val="subscript"/>
        </w:rPr>
        <w:t>2</w:t>
      </w:r>
      <w:r>
        <w:rPr>
          <w:vertAlign w:val="baseline"/>
        </w:rPr>
        <w:t> (including Iron) were assessed and found to be highly correlated (P-Sat</w:t>
      </w:r>
      <w:r>
        <w:rPr>
          <w:vertAlign w:val="subscript"/>
        </w:rPr>
        <w:t>1</w:t>
      </w:r>
      <w:r>
        <w:rPr>
          <w:vertAlign w:val="baseline"/>
        </w:rPr>
        <w:t>= 1.26</w:t>
      </w:r>
      <w:r>
        <w:rPr>
          <w:spacing w:val="-2"/>
          <w:vertAlign w:val="baseline"/>
        </w:rPr>
        <w:t> </w:t>
      </w:r>
      <w:r>
        <w:rPr>
          <w:vertAlign w:val="baseline"/>
        </w:rPr>
        <w:t>x</w:t>
      </w:r>
      <w:r>
        <w:rPr>
          <w:spacing w:val="-1"/>
          <w:vertAlign w:val="baseline"/>
        </w:rPr>
        <w:t> </w:t>
      </w:r>
      <w:r>
        <w:rPr>
          <w:vertAlign w:val="baseline"/>
        </w:rPr>
        <w:t>P-Sat</w:t>
      </w:r>
      <w:r>
        <w:rPr>
          <w:vertAlign w:val="subscript"/>
        </w:rPr>
        <w:t>2</w:t>
      </w:r>
      <w:r>
        <w:rPr>
          <w:vertAlign w:val="baseline"/>
        </w:rPr>
        <w:t>),</w:t>
      </w:r>
      <w:r>
        <w:rPr>
          <w:spacing w:val="-1"/>
          <w:vertAlign w:val="baseline"/>
        </w:rPr>
        <w:t> </w:t>
      </w:r>
      <w:r>
        <w:rPr>
          <w:vertAlign w:val="baseline"/>
        </w:rPr>
        <w:t>and</w:t>
      </w:r>
      <w:r>
        <w:rPr>
          <w:spacing w:val="-1"/>
          <w:vertAlign w:val="baseline"/>
        </w:rPr>
        <w:t> </w:t>
      </w:r>
      <w:r>
        <w:rPr>
          <w:vertAlign w:val="baseline"/>
        </w:rPr>
        <w:t>so</w:t>
      </w:r>
      <w:r>
        <w:rPr>
          <w:spacing w:val="-1"/>
          <w:vertAlign w:val="baseline"/>
        </w:rPr>
        <w:t> </w:t>
      </w:r>
      <w:r>
        <w:rPr>
          <w:vertAlign w:val="baseline"/>
        </w:rPr>
        <w:t>the</w:t>
      </w:r>
      <w:r>
        <w:rPr>
          <w:spacing w:val="-1"/>
          <w:vertAlign w:val="baseline"/>
        </w:rPr>
        <w:t> </w:t>
      </w:r>
      <w:r>
        <w:rPr>
          <w:vertAlign w:val="baseline"/>
        </w:rPr>
        <w:t>new</w:t>
      </w:r>
      <w:r>
        <w:rPr>
          <w:spacing w:val="-2"/>
          <w:vertAlign w:val="baseline"/>
        </w:rPr>
        <w:t> </w:t>
      </w:r>
      <w:r>
        <w:rPr>
          <w:vertAlign w:val="baseline"/>
        </w:rPr>
        <w:t>P</w:t>
      </w:r>
      <w:r>
        <w:rPr>
          <w:spacing w:val="-1"/>
          <w:vertAlign w:val="baseline"/>
        </w:rPr>
        <w:t> </w:t>
      </w:r>
      <w:r>
        <w:rPr>
          <w:vertAlign w:val="baseline"/>
        </w:rPr>
        <w:t>recommendations are</w:t>
      </w:r>
      <w:r>
        <w:rPr>
          <w:spacing w:val="-1"/>
          <w:vertAlign w:val="baseline"/>
        </w:rPr>
        <w:t> </w:t>
      </w:r>
      <w:r>
        <w:rPr>
          <w:vertAlign w:val="baseline"/>
        </w:rPr>
        <w:t>based</w:t>
      </w:r>
      <w:r>
        <w:rPr>
          <w:spacing w:val="-3"/>
          <w:vertAlign w:val="baseline"/>
        </w:rPr>
        <w:t> </w:t>
      </w:r>
      <w:r>
        <w:rPr>
          <w:vertAlign w:val="baseline"/>
        </w:rPr>
        <w:t>only</w:t>
      </w:r>
      <w:r>
        <w:rPr>
          <w:spacing w:val="-1"/>
          <w:vertAlign w:val="baseline"/>
        </w:rPr>
        <w:t> </w:t>
      </w:r>
      <w:r>
        <w:rPr>
          <w:vertAlign w:val="baseline"/>
        </w:rPr>
        <w:t>on</w:t>
      </w:r>
      <w:r>
        <w:rPr>
          <w:spacing w:val="-1"/>
          <w:vertAlign w:val="baseline"/>
        </w:rPr>
        <w:t> </w:t>
      </w:r>
      <w:r>
        <w:rPr>
          <w:vertAlign w:val="baseline"/>
        </w:rPr>
        <w:t>P-Saturation</w:t>
      </w:r>
      <w:r>
        <w:rPr>
          <w:spacing w:val="-1"/>
          <w:vertAlign w:val="baseline"/>
        </w:rPr>
        <w:t> </w:t>
      </w:r>
      <w:r>
        <w:rPr>
          <w:vertAlign w:val="baseline"/>
        </w:rPr>
        <w:t>Index</w:t>
      </w:r>
      <w:r>
        <w:rPr>
          <w:vertAlign w:val="subscript"/>
        </w:rPr>
        <w:t>1</w:t>
      </w:r>
      <w:r>
        <w:rPr>
          <w:spacing w:val="-1"/>
          <w:vertAlign w:val="baseline"/>
        </w:rPr>
        <w:t> </w:t>
      </w:r>
      <w:r>
        <w:rPr>
          <w:vertAlign w:val="baseline"/>
        </w:rPr>
        <w:t>without </w:t>
      </w:r>
      <w:r>
        <w:rPr>
          <w:spacing w:val="-2"/>
          <w:vertAlign w:val="baseline"/>
        </w:rPr>
        <w:t>Iron.</w:t>
      </w:r>
    </w:p>
    <w:p>
      <w:pPr>
        <w:pStyle w:val="BodyText"/>
        <w:spacing w:before="38"/>
        <w:rPr>
          <w:sz w:val="21"/>
        </w:rPr>
      </w:pPr>
    </w:p>
    <w:p>
      <w:pPr>
        <w:spacing w:before="0"/>
        <w:ind w:left="6544" w:right="0" w:firstLine="0"/>
        <w:jc w:val="left"/>
        <w:rPr>
          <w:rFonts w:ascii="Cambria Math"/>
          <w:sz w:val="21"/>
        </w:rPr>
      </w:pPr>
      <w:r>
        <w:rPr>
          <w:rFonts w:ascii="Cambria Math"/>
          <w:sz w:val="21"/>
        </w:rPr>
        <mc:AlternateContent>
          <mc:Choice Requires="wps">
            <w:drawing>
              <wp:anchor distT="0" distB="0" distL="0" distR="0" allowOverlap="1" layoutInCell="1" locked="0" behindDoc="1" simplePos="0" relativeHeight="487588864">
                <wp:simplePos x="0" y="0"/>
                <wp:positionH relativeFrom="page">
                  <wp:posOffset>4612894</wp:posOffset>
                </wp:positionH>
                <wp:positionV relativeFrom="paragraph">
                  <wp:posOffset>161414</wp:posOffset>
                </wp:positionV>
                <wp:extent cx="474980" cy="1079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74980" cy="10795"/>
                        </a:xfrm>
                        <a:custGeom>
                          <a:avLst/>
                          <a:gdLst/>
                          <a:ahLst/>
                          <a:cxnLst/>
                          <a:rect l="l" t="t" r="r" b="b"/>
                          <a:pathLst>
                            <a:path w="474980" h="10795">
                              <a:moveTo>
                                <a:pt x="474725" y="0"/>
                              </a:moveTo>
                              <a:lnTo>
                                <a:pt x="0" y="0"/>
                              </a:lnTo>
                              <a:lnTo>
                                <a:pt x="0" y="10667"/>
                              </a:lnTo>
                              <a:lnTo>
                                <a:pt x="474725" y="10667"/>
                              </a:lnTo>
                              <a:lnTo>
                                <a:pt x="474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3.220001pt;margin-top:12.709814pt;width:37.380pt;height:.84pt;mso-position-horizontal-relative:page;mso-position-vertical-relative:paragraph;z-index:-15727616;mso-wrap-distance-left:0;mso-wrap-distance-right:0" id="docshape4" filled="true" fillcolor="#000000" stroked="false">
                <v:fill type="solid"/>
                <w10:wrap type="topAndBottom"/>
              </v:rect>
            </w:pict>
          </mc:Fallback>
        </mc:AlternateContent>
      </w:r>
      <w:r>
        <w:rPr>
          <w:rFonts w:ascii="Cambria Math"/>
          <w:sz w:val="21"/>
        </w:rPr>
        <w:t>P </w:t>
      </w:r>
      <w:r>
        <w:rPr>
          <w:rFonts w:ascii="Cambria Math"/>
          <w:spacing w:val="-2"/>
          <w:sz w:val="21"/>
        </w:rPr>
        <w:t>(ppm)</w:t>
      </w:r>
    </w:p>
    <w:p>
      <w:pPr>
        <w:pStyle w:val="BodyText"/>
        <w:tabs>
          <w:tab w:pos="3290" w:val="left" w:leader="none"/>
          <w:tab w:pos="3666" w:val="left" w:leader="none"/>
          <w:tab w:pos="4664" w:val="left" w:leader="none"/>
          <w:tab w:pos="5897" w:val="left" w:leader="none"/>
        </w:tabs>
        <w:spacing w:line="255" w:lineRule="exact" w:before="10"/>
        <w:ind w:left="744"/>
        <w:jc w:val="center"/>
      </w:pPr>
      <w:r>
        <w:rPr/>
        <w:t>P-Saturation</w:t>
      </w:r>
      <w:r>
        <w:rPr>
          <w:spacing w:val="-3"/>
        </w:rPr>
        <w:t> </w:t>
      </w:r>
      <w:r>
        <w:rPr/>
        <w:t>Index</w:t>
      </w:r>
      <w:r>
        <w:rPr>
          <w:vertAlign w:val="subscript"/>
        </w:rPr>
        <w:t>2</w:t>
      </w:r>
      <w:r>
        <w:rPr>
          <w:spacing w:val="-1"/>
          <w:vertAlign w:val="baseline"/>
        </w:rPr>
        <w:t> </w:t>
      </w:r>
      <w:r>
        <w:rPr>
          <w:spacing w:val="-5"/>
          <w:vertAlign w:val="baseline"/>
        </w:rPr>
        <w:t>(%)</w:t>
      </w:r>
      <w:r>
        <w:rPr>
          <w:vertAlign w:val="baseline"/>
        </w:rPr>
        <w:tab/>
      </w:r>
      <w:r>
        <w:rPr>
          <w:spacing w:val="-10"/>
          <w:vertAlign w:val="baseline"/>
        </w:rPr>
        <w:t>=</w:t>
      </w:r>
      <w:r>
        <w:rPr>
          <w:vertAlign w:val="baseline"/>
        </w:rPr>
        <w:tab/>
      </w:r>
      <w:r>
        <w:rPr>
          <w:position w:val="14"/>
          <w:sz w:val="21"/>
          <w:u w:val="thick"/>
          <w:vertAlign w:val="baseline"/>
        </w:rPr>
        <w:tab/>
      </w:r>
      <w:r>
        <w:rPr>
          <w:rFonts w:ascii="Cambria Math"/>
          <w:spacing w:val="-5"/>
          <w:position w:val="14"/>
          <w:sz w:val="21"/>
          <w:u w:val="thick"/>
          <w:vertAlign w:val="baseline"/>
        </w:rPr>
        <w:t>31</w:t>
      </w:r>
      <w:r>
        <w:rPr>
          <w:rFonts w:ascii="Cambria Math"/>
          <w:position w:val="14"/>
          <w:sz w:val="21"/>
          <w:u w:val="thick"/>
          <w:vertAlign w:val="baseline"/>
        </w:rPr>
        <w:tab/>
      </w:r>
      <w:r>
        <w:rPr>
          <w:rFonts w:ascii="Cambria Math"/>
          <w:spacing w:val="40"/>
          <w:position w:val="14"/>
          <w:sz w:val="21"/>
          <w:vertAlign w:val="baseline"/>
        </w:rPr>
        <w:t> </w:t>
      </w:r>
      <w:r>
        <w:rPr>
          <w:vertAlign w:val="baseline"/>
        </w:rPr>
        <w:t>x 100</w:t>
      </w:r>
    </w:p>
    <w:p>
      <w:pPr>
        <w:tabs>
          <w:tab w:pos="7035" w:val="left" w:leader="none"/>
        </w:tabs>
        <w:spacing w:line="123" w:lineRule="exact" w:before="0"/>
        <w:ind w:left="5966" w:right="0" w:firstLine="0"/>
        <w:jc w:val="left"/>
        <w:rPr>
          <w:rFonts w:ascii="Cambria Math"/>
          <w:sz w:val="21"/>
        </w:rPr>
      </w:pPr>
      <w:r>
        <w:rPr>
          <w:rFonts w:ascii="Cambria Math"/>
          <w:sz w:val="21"/>
        </w:rPr>
        <w:t>Al </w:t>
      </w:r>
      <w:r>
        <w:rPr>
          <w:rFonts w:ascii="Cambria Math"/>
          <w:spacing w:val="-2"/>
          <w:position w:val="1"/>
          <w:sz w:val="21"/>
        </w:rPr>
        <w:t>(</w:t>
      </w:r>
      <w:r>
        <w:rPr>
          <w:rFonts w:ascii="Cambria Math"/>
          <w:spacing w:val="-2"/>
          <w:sz w:val="21"/>
        </w:rPr>
        <w:t>ppm</w:t>
      </w:r>
      <w:r>
        <w:rPr>
          <w:rFonts w:ascii="Cambria Math"/>
          <w:spacing w:val="-2"/>
          <w:position w:val="1"/>
          <w:sz w:val="21"/>
        </w:rPr>
        <w:t>)</w:t>
      </w:r>
      <w:r>
        <w:rPr>
          <w:rFonts w:ascii="Cambria Math"/>
          <w:position w:val="1"/>
          <w:sz w:val="21"/>
        </w:rPr>
        <w:tab/>
      </w:r>
      <w:r>
        <w:rPr>
          <w:rFonts w:ascii="Cambria Math"/>
          <w:sz w:val="21"/>
        </w:rPr>
        <w:t>Fe</w:t>
      </w:r>
      <w:r>
        <w:rPr>
          <w:rFonts w:ascii="Cambria Math"/>
          <w:spacing w:val="-9"/>
          <w:sz w:val="21"/>
        </w:rPr>
        <w:t> </w:t>
      </w:r>
      <w:r>
        <w:rPr>
          <w:rFonts w:ascii="Cambria Math"/>
          <w:spacing w:val="-2"/>
          <w:sz w:val="21"/>
        </w:rPr>
        <w:t>(ppm)</w:t>
      </w:r>
    </w:p>
    <w:p>
      <w:pPr>
        <w:tabs>
          <w:tab w:pos="6257" w:val="left" w:leader="none"/>
          <w:tab w:pos="6783" w:val="left" w:leader="none"/>
          <w:tab w:pos="7336" w:val="left" w:leader="none"/>
          <w:tab w:pos="7870" w:val="left" w:leader="none"/>
        </w:tabs>
        <w:spacing w:line="380" w:lineRule="exact" w:before="0"/>
        <w:ind w:left="5838" w:right="0" w:firstLine="0"/>
        <w:jc w:val="left"/>
        <w:rPr>
          <w:rFonts w:ascii="Cambria Math"/>
          <w:position w:val="13"/>
          <w:sz w:val="26"/>
        </w:rPr>
      </w:pPr>
      <w:r>
        <w:rPr>
          <w:rFonts w:ascii="Cambria Math"/>
          <w:position w:val="13"/>
          <w:sz w:val="26"/>
        </w:rPr>
        <mc:AlternateContent>
          <mc:Choice Requires="wps">
            <w:drawing>
              <wp:anchor distT="0" distB="0" distL="0" distR="0" allowOverlap="1" layoutInCell="1" locked="0" behindDoc="1" simplePos="0" relativeHeight="487445504">
                <wp:simplePos x="0" y="0"/>
                <wp:positionH relativeFrom="page">
                  <wp:posOffset>4245609</wp:posOffset>
                </wp:positionH>
                <wp:positionV relativeFrom="paragraph">
                  <wp:posOffset>76039</wp:posOffset>
                </wp:positionV>
                <wp:extent cx="519430" cy="1079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19430" cy="10795"/>
                        </a:xfrm>
                        <a:custGeom>
                          <a:avLst/>
                          <a:gdLst/>
                          <a:ahLst/>
                          <a:cxnLst/>
                          <a:rect l="l" t="t" r="r" b="b"/>
                          <a:pathLst>
                            <a:path w="519430" h="10795">
                              <a:moveTo>
                                <a:pt x="518922" y="0"/>
                              </a:moveTo>
                              <a:lnTo>
                                <a:pt x="0" y="0"/>
                              </a:lnTo>
                              <a:lnTo>
                                <a:pt x="0" y="10667"/>
                              </a:lnTo>
                              <a:lnTo>
                                <a:pt x="518922" y="10667"/>
                              </a:lnTo>
                              <a:lnTo>
                                <a:pt x="518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299988pt;margin-top:5.987373pt;width:40.86pt;height:.84pt;mso-position-horizontal-relative:page;mso-position-vertical-relative:paragraph;z-index:-15870976" id="docshape5" filled="true" fillcolor="#000000" stroked="false">
                <v:fill type="solid"/>
                <w10:wrap type="none"/>
              </v:rect>
            </w:pict>
          </mc:Fallback>
        </mc:AlternateContent>
      </w:r>
      <w:r>
        <w:rPr>
          <w:rFonts w:ascii="Cambria Math"/>
          <w:position w:val="13"/>
          <w:sz w:val="26"/>
        </w:rPr>
        <mc:AlternateContent>
          <mc:Choice Requires="wps">
            <w:drawing>
              <wp:anchor distT="0" distB="0" distL="0" distR="0" allowOverlap="1" layoutInCell="1" locked="0" behindDoc="1" simplePos="0" relativeHeight="487446016">
                <wp:simplePos x="0" y="0"/>
                <wp:positionH relativeFrom="page">
                  <wp:posOffset>4924552</wp:posOffset>
                </wp:positionH>
                <wp:positionV relativeFrom="paragraph">
                  <wp:posOffset>76039</wp:posOffset>
                </wp:positionV>
                <wp:extent cx="530860" cy="1079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30860" cy="10795"/>
                        </a:xfrm>
                        <a:custGeom>
                          <a:avLst/>
                          <a:gdLst/>
                          <a:ahLst/>
                          <a:cxnLst/>
                          <a:rect l="l" t="t" r="r" b="b"/>
                          <a:pathLst>
                            <a:path w="530860" h="10795">
                              <a:moveTo>
                                <a:pt x="530351" y="0"/>
                              </a:moveTo>
                              <a:lnTo>
                                <a:pt x="0" y="0"/>
                              </a:lnTo>
                              <a:lnTo>
                                <a:pt x="0" y="10667"/>
                              </a:lnTo>
                              <a:lnTo>
                                <a:pt x="530351" y="10667"/>
                              </a:lnTo>
                              <a:lnTo>
                                <a:pt x="5303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76001pt;margin-top:5.987373pt;width:41.76pt;height:.84pt;mso-position-horizontal-relative:page;mso-position-vertical-relative:paragraph;z-index:-15870464" id="docshape6" filled="true" fillcolor="#000000" stroked="false">
                <v:fill type="solid"/>
                <w10:wrap type="none"/>
              </v:rect>
            </w:pict>
          </mc:Fallback>
        </mc:AlternateContent>
      </w:r>
      <w:r>
        <w:rPr>
          <w:rFonts w:ascii="Cambria Math"/>
          <w:spacing w:val="-10"/>
          <w:w w:val="105"/>
          <w:position w:val="13"/>
          <w:sz w:val="26"/>
        </w:rPr>
        <w:t>(</w:t>
      </w:r>
      <w:r>
        <w:rPr>
          <w:rFonts w:ascii="Cambria Math"/>
          <w:position w:val="13"/>
          <w:sz w:val="26"/>
        </w:rPr>
        <w:tab/>
      </w:r>
      <w:r>
        <w:rPr>
          <w:rFonts w:ascii="Cambria Math"/>
          <w:spacing w:val="-5"/>
          <w:w w:val="105"/>
          <w:sz w:val="21"/>
        </w:rPr>
        <w:t>27</w:t>
      </w:r>
      <w:r>
        <w:rPr>
          <w:rFonts w:ascii="Cambria Math"/>
          <w:sz w:val="21"/>
        </w:rPr>
        <w:tab/>
      </w:r>
      <w:r>
        <w:rPr>
          <w:rFonts w:ascii="Cambria Math"/>
          <w:spacing w:val="-10"/>
          <w:w w:val="105"/>
          <w:position w:val="13"/>
          <w:sz w:val="26"/>
        </w:rPr>
        <w:t>+</w:t>
      </w:r>
      <w:r>
        <w:rPr>
          <w:rFonts w:ascii="Cambria Math"/>
          <w:position w:val="13"/>
          <w:sz w:val="26"/>
        </w:rPr>
        <w:tab/>
      </w:r>
      <w:r>
        <w:rPr>
          <w:rFonts w:ascii="Cambria Math"/>
          <w:spacing w:val="-5"/>
          <w:w w:val="105"/>
          <w:sz w:val="21"/>
        </w:rPr>
        <w:t>56</w:t>
      </w:r>
      <w:r>
        <w:rPr>
          <w:rFonts w:ascii="Cambria Math"/>
          <w:sz w:val="21"/>
        </w:rPr>
        <w:tab/>
      </w:r>
      <w:r>
        <w:rPr>
          <w:rFonts w:ascii="Cambria Math"/>
          <w:spacing w:val="-10"/>
          <w:w w:val="105"/>
          <w:position w:val="13"/>
          <w:sz w:val="26"/>
        </w:rPr>
        <w:t>)</w:t>
      </w:r>
    </w:p>
    <w:p>
      <w:pPr>
        <w:spacing w:line="276" w:lineRule="auto" w:before="239"/>
        <w:ind w:left="720" w:right="861" w:firstLine="0"/>
        <w:jc w:val="left"/>
        <w:rPr>
          <w:sz w:val="22"/>
        </w:rPr>
      </w:pPr>
      <w:r>
        <w:rPr>
          <w:sz w:val="24"/>
        </w:rPr>
        <w:t>New P recommendations for soils with pH above 5.5 have been developed for PEI based on well-established trial</w:t>
      </w:r>
      <w:r>
        <w:rPr>
          <w:spacing w:val="-1"/>
          <w:sz w:val="24"/>
        </w:rPr>
        <w:t> </w:t>
      </w:r>
      <w:r>
        <w:rPr>
          <w:sz w:val="24"/>
        </w:rPr>
        <w:t>results (Table 2). </w:t>
      </w:r>
      <w:r>
        <w:rPr>
          <w:b/>
          <w:sz w:val="24"/>
        </w:rPr>
        <w:t>Because the new</w:t>
      </w:r>
      <w:r>
        <w:rPr>
          <w:b/>
          <w:spacing w:val="-1"/>
          <w:sz w:val="24"/>
        </w:rPr>
        <w:t> </w:t>
      </w:r>
      <w:r>
        <w:rPr>
          <w:b/>
          <w:sz w:val="24"/>
        </w:rPr>
        <w:t>P recommendations were developed on a plot scale, they need to be validated at larger scale, and are proposed here as a guideline for field trials to assess. </w:t>
      </w:r>
      <w:r>
        <w:rPr>
          <w:sz w:val="24"/>
        </w:rPr>
        <w:t>However, these new P rates developed for PEI appear to be comparable with those developed for New Brunswick and Quebec (CRAAQ 2010; New Brunswick</w:t>
      </w:r>
      <w:r>
        <w:rPr>
          <w:spacing w:val="-4"/>
          <w:sz w:val="24"/>
        </w:rPr>
        <w:t> </w:t>
      </w:r>
      <w:r>
        <w:rPr>
          <w:sz w:val="24"/>
        </w:rPr>
        <w:t>Department</w:t>
      </w:r>
      <w:r>
        <w:rPr>
          <w:spacing w:val="-4"/>
          <w:sz w:val="24"/>
        </w:rPr>
        <w:t> </w:t>
      </w:r>
      <w:r>
        <w:rPr>
          <w:sz w:val="24"/>
        </w:rPr>
        <w:t>of</w:t>
      </w:r>
      <w:r>
        <w:rPr>
          <w:spacing w:val="-4"/>
          <w:sz w:val="24"/>
        </w:rPr>
        <w:t> </w:t>
      </w:r>
      <w:r>
        <w:rPr>
          <w:sz w:val="24"/>
        </w:rPr>
        <w:t>Agriculture</w:t>
      </w:r>
      <w:r>
        <w:rPr>
          <w:spacing w:val="-4"/>
          <w:sz w:val="24"/>
        </w:rPr>
        <w:t> </w:t>
      </w:r>
      <w:r>
        <w:rPr>
          <w:sz w:val="24"/>
        </w:rPr>
        <w:t>2010).</w:t>
      </w:r>
      <w:r>
        <w:rPr>
          <w:spacing w:val="-4"/>
          <w:sz w:val="24"/>
        </w:rPr>
        <w:t> </w:t>
      </w:r>
      <w:r>
        <w:rPr>
          <w:sz w:val="24"/>
        </w:rPr>
        <w:t>Before</w:t>
      </w:r>
      <w:r>
        <w:rPr>
          <w:spacing w:val="-4"/>
          <w:sz w:val="24"/>
        </w:rPr>
        <w:t> </w:t>
      </w:r>
      <w:r>
        <w:rPr>
          <w:sz w:val="24"/>
        </w:rPr>
        <w:t>implementing</w:t>
      </w:r>
      <w:r>
        <w:rPr>
          <w:spacing w:val="-4"/>
          <w:sz w:val="24"/>
        </w:rPr>
        <w:t> </w:t>
      </w:r>
      <w:r>
        <w:rPr>
          <w:sz w:val="24"/>
        </w:rPr>
        <w:t>the</w:t>
      </w:r>
      <w:r>
        <w:rPr>
          <w:spacing w:val="-4"/>
          <w:sz w:val="24"/>
        </w:rPr>
        <w:t> </w:t>
      </w:r>
      <w:r>
        <w:rPr>
          <w:sz w:val="24"/>
        </w:rPr>
        <w:t>new</w:t>
      </w:r>
      <w:r>
        <w:rPr>
          <w:spacing w:val="-4"/>
          <w:sz w:val="24"/>
        </w:rPr>
        <w:t> </w:t>
      </w:r>
      <w:r>
        <w:rPr>
          <w:sz w:val="24"/>
        </w:rPr>
        <w:t>P</w:t>
      </w:r>
      <w:r>
        <w:rPr>
          <w:spacing w:val="-4"/>
          <w:sz w:val="24"/>
        </w:rPr>
        <w:t> </w:t>
      </w:r>
      <w:r>
        <w:rPr>
          <w:sz w:val="24"/>
        </w:rPr>
        <w:t>recommendations for potato based on the P-Saturation index, we recommend </w:t>
      </w:r>
      <w:r>
        <w:rPr>
          <w:sz w:val="22"/>
        </w:rPr>
        <w:t>their validation in commercial fields to reflect large scale variation in comparison to current P fertilization rates.</w:t>
      </w:r>
    </w:p>
    <w:p>
      <w:pPr>
        <w:pStyle w:val="BodyText"/>
        <w:spacing w:before="200"/>
      </w:pPr>
    </w:p>
    <w:p>
      <w:pPr>
        <w:pStyle w:val="BodyText"/>
        <w:ind w:left="720" w:right="785"/>
      </w:pPr>
      <w:r>
        <w:rPr>
          <w:b/>
        </w:rPr>
        <w:t>Table</w:t>
      </w:r>
      <w:r>
        <w:rPr>
          <w:b/>
          <w:spacing w:val="28"/>
        </w:rPr>
        <w:t> </w:t>
      </w:r>
      <w:r>
        <w:rPr>
          <w:b/>
        </w:rPr>
        <w:t>2.</w:t>
      </w:r>
      <w:r>
        <w:rPr>
          <w:b/>
          <w:spacing w:val="23"/>
        </w:rPr>
        <w:t> </w:t>
      </w:r>
      <w:r>
        <w:rPr/>
        <w:t>Comparison of current</w:t>
      </w:r>
      <w:r>
        <w:rPr>
          <w:spacing w:val="24"/>
        </w:rPr>
        <w:t> </w:t>
      </w:r>
      <w:r>
        <w:rPr/>
        <w:t>potato P recommendations</w:t>
      </w:r>
      <w:r>
        <w:rPr>
          <w:spacing w:val="24"/>
        </w:rPr>
        <w:t> </w:t>
      </w:r>
      <w:r>
        <w:rPr/>
        <w:t>versus those based on P saturation</w:t>
      </w:r>
      <w:r>
        <w:rPr>
          <w:spacing w:val="40"/>
        </w:rPr>
        <w:t> </w:t>
      </w:r>
      <w:r>
        <w:rPr>
          <w:spacing w:val="-2"/>
        </w:rPr>
        <w:t>index</w:t>
      </w:r>
    </w:p>
    <w:p>
      <w:pPr>
        <w:pStyle w:val="BodyText"/>
        <w:spacing w:before="49"/>
        <w:rPr>
          <w:sz w:val="20"/>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2669"/>
        <w:gridCol w:w="2324"/>
        <w:gridCol w:w="2470"/>
        <w:gridCol w:w="1823"/>
      </w:tblGrid>
      <w:tr>
        <w:trPr>
          <w:trHeight w:val="551" w:hRule="atLeast"/>
        </w:trPr>
        <w:tc>
          <w:tcPr>
            <w:tcW w:w="387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76" w:lineRule="exact"/>
              <w:ind w:left="235" w:right="202" w:firstLine="174"/>
              <w:jc w:val="left"/>
              <w:rPr>
                <w:b/>
                <w:sz w:val="24"/>
              </w:rPr>
            </w:pPr>
            <w:r>
              <w:rPr>
                <w:b/>
                <w:sz w:val="24"/>
              </w:rPr>
              <w:t>Previous P Recommendations (before</w:t>
            </w:r>
            <w:r>
              <w:rPr>
                <w:b/>
                <w:spacing w:val="-8"/>
                <w:sz w:val="24"/>
              </w:rPr>
              <w:t> </w:t>
            </w:r>
            <w:r>
              <w:rPr>
                <w:b/>
                <w:sz w:val="24"/>
              </w:rPr>
              <w:t>2018,</w:t>
            </w:r>
            <w:r>
              <w:rPr>
                <w:b/>
                <w:spacing w:val="-8"/>
                <w:sz w:val="24"/>
              </w:rPr>
              <w:t> </w:t>
            </w:r>
            <w:r>
              <w:rPr>
                <w:b/>
                <w:sz w:val="24"/>
              </w:rPr>
              <w:t>based</w:t>
            </w:r>
            <w:r>
              <w:rPr>
                <w:b/>
                <w:spacing w:val="-8"/>
                <w:sz w:val="24"/>
              </w:rPr>
              <w:t> </w:t>
            </w:r>
            <w:r>
              <w:rPr>
                <w:b/>
                <w:sz w:val="24"/>
              </w:rPr>
              <w:t>on</w:t>
            </w:r>
            <w:r>
              <w:rPr>
                <w:b/>
                <w:spacing w:val="-8"/>
                <w:sz w:val="24"/>
              </w:rPr>
              <w:t> </w:t>
            </w:r>
            <w:r>
              <w:rPr>
                <w:b/>
                <w:sz w:val="24"/>
              </w:rPr>
              <w:t>soil</w:t>
            </w:r>
            <w:r>
              <w:rPr>
                <w:b/>
                <w:spacing w:val="-8"/>
                <w:sz w:val="24"/>
              </w:rPr>
              <w:t> </w:t>
            </w:r>
            <w:r>
              <w:rPr>
                <w:b/>
                <w:sz w:val="24"/>
              </w:rPr>
              <w:t>levels)</w:t>
            </w:r>
          </w:p>
        </w:tc>
        <w:tc>
          <w:tcPr>
            <w:tcW w:w="479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76" w:lineRule="exact"/>
              <w:ind w:left="862" w:right="81" w:hanging="749"/>
              <w:jc w:val="left"/>
              <w:rPr>
                <w:b/>
                <w:sz w:val="24"/>
              </w:rPr>
            </w:pPr>
            <w:r>
              <w:rPr>
                <w:b/>
                <w:sz w:val="24"/>
              </w:rPr>
              <w:t>Updated</w:t>
            </w:r>
            <w:r>
              <w:rPr>
                <w:b/>
                <w:spacing w:val="-10"/>
                <w:sz w:val="24"/>
              </w:rPr>
              <w:t> </w:t>
            </w:r>
            <w:r>
              <w:rPr>
                <w:b/>
                <w:sz w:val="24"/>
              </w:rPr>
              <w:t>P</w:t>
            </w:r>
            <w:r>
              <w:rPr>
                <w:b/>
                <w:spacing w:val="-10"/>
                <w:sz w:val="24"/>
              </w:rPr>
              <w:t> </w:t>
            </w:r>
            <w:r>
              <w:rPr>
                <w:b/>
                <w:sz w:val="24"/>
              </w:rPr>
              <w:t>Recommendations</w:t>
            </w:r>
            <w:r>
              <w:rPr>
                <w:b/>
                <w:spacing w:val="-10"/>
                <w:sz w:val="24"/>
              </w:rPr>
              <w:t> </w:t>
            </w:r>
            <w:r>
              <w:rPr>
                <w:b/>
                <w:sz w:val="24"/>
              </w:rPr>
              <w:t>(2018</w:t>
            </w:r>
            <w:r>
              <w:rPr>
                <w:b/>
                <w:spacing w:val="-10"/>
                <w:sz w:val="24"/>
              </w:rPr>
              <w:t> </w:t>
            </w:r>
            <w:r>
              <w:rPr>
                <w:b/>
                <w:sz w:val="24"/>
              </w:rPr>
              <w:t>onward, based on P- Saturation Index)</w:t>
            </w:r>
          </w:p>
        </w:tc>
        <w:tc>
          <w:tcPr>
            <w:tcW w:w="18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7"/>
              <w:ind w:right="2"/>
              <w:rPr>
                <w:b/>
                <w:sz w:val="24"/>
              </w:rPr>
            </w:pPr>
            <w:r>
              <w:rPr>
                <w:b/>
                <w:sz w:val="24"/>
              </w:rPr>
              <w:t>P </w:t>
            </w:r>
            <w:r>
              <w:rPr>
                <w:b/>
                <w:spacing w:val="-2"/>
                <w:sz w:val="24"/>
              </w:rPr>
              <w:t>Savings</w:t>
            </w:r>
          </w:p>
        </w:tc>
      </w:tr>
      <w:tr>
        <w:trPr>
          <w:trHeight w:val="551" w:hRule="atLeast"/>
        </w:trPr>
        <w:tc>
          <w:tcPr>
            <w:tcW w:w="1202" w:type="dxa"/>
            <w:tcBorders>
              <w:top w:val="single" w:sz="12" w:space="0" w:color="000000"/>
              <w:left w:val="single" w:sz="12" w:space="0" w:color="000000"/>
              <w:bottom w:val="single" w:sz="12" w:space="0" w:color="000000"/>
            </w:tcBorders>
          </w:tcPr>
          <w:p>
            <w:pPr>
              <w:pStyle w:val="TableParagraph"/>
              <w:spacing w:line="276" w:lineRule="exact"/>
              <w:ind w:left="329" w:right="288" w:firstLine="85"/>
              <w:jc w:val="left"/>
              <w:rPr>
                <w:b/>
                <w:sz w:val="24"/>
              </w:rPr>
            </w:pPr>
            <w:r>
              <w:rPr>
                <w:b/>
                <w:spacing w:val="-4"/>
                <w:sz w:val="24"/>
              </w:rPr>
              <w:t>Soil </w:t>
            </w:r>
            <w:r>
              <w:rPr>
                <w:b/>
                <w:spacing w:val="-2"/>
                <w:sz w:val="24"/>
              </w:rPr>
              <w:t>Level</w:t>
            </w:r>
          </w:p>
        </w:tc>
        <w:tc>
          <w:tcPr>
            <w:tcW w:w="2669" w:type="dxa"/>
            <w:tcBorders>
              <w:top w:val="single" w:sz="12" w:space="0" w:color="000000"/>
              <w:bottom w:val="single" w:sz="12" w:space="0" w:color="000000"/>
              <w:right w:val="single" w:sz="12" w:space="0" w:color="000000"/>
            </w:tcBorders>
          </w:tcPr>
          <w:p>
            <w:pPr>
              <w:pStyle w:val="TableParagraph"/>
              <w:spacing w:line="276" w:lineRule="exact"/>
              <w:ind w:left="713" w:right="263" w:hanging="387"/>
              <w:jc w:val="left"/>
              <w:rPr>
                <w:b/>
                <w:sz w:val="24"/>
              </w:rPr>
            </w:pPr>
            <w:r>
              <w:rPr>
                <w:b/>
                <w:sz w:val="24"/>
              </w:rPr>
              <w:t>Recommended</w:t>
            </w:r>
            <w:r>
              <w:rPr>
                <w:b/>
                <w:spacing w:val="-15"/>
                <w:sz w:val="24"/>
              </w:rPr>
              <w:t> </w:t>
            </w:r>
            <w:r>
              <w:rPr>
                <w:b/>
                <w:sz w:val="24"/>
              </w:rPr>
              <w:t>Rate (kg P</w:t>
            </w:r>
            <w:r>
              <w:rPr>
                <w:b/>
                <w:sz w:val="24"/>
                <w:vertAlign w:val="subscript"/>
              </w:rPr>
              <w:t>2</w:t>
            </w:r>
            <w:r>
              <w:rPr>
                <w:b/>
                <w:sz w:val="24"/>
                <w:vertAlign w:val="baseline"/>
              </w:rPr>
              <w:t>O</w:t>
            </w:r>
            <w:r>
              <w:rPr>
                <w:b/>
                <w:sz w:val="24"/>
                <w:vertAlign w:val="subscript"/>
              </w:rPr>
              <w:t>5</w:t>
            </w:r>
            <w:r>
              <w:rPr>
                <w:b/>
                <w:sz w:val="24"/>
                <w:vertAlign w:val="baseline"/>
              </w:rPr>
              <w:t>/ha)</w:t>
            </w:r>
          </w:p>
        </w:tc>
        <w:tc>
          <w:tcPr>
            <w:tcW w:w="2324" w:type="dxa"/>
            <w:tcBorders>
              <w:top w:val="single" w:sz="12" w:space="0" w:color="000000"/>
              <w:left w:val="single" w:sz="12" w:space="0" w:color="000000"/>
              <w:bottom w:val="single" w:sz="12" w:space="0" w:color="000000"/>
            </w:tcBorders>
          </w:tcPr>
          <w:p>
            <w:pPr>
              <w:pStyle w:val="TableParagraph"/>
              <w:spacing w:line="276" w:lineRule="exact"/>
              <w:ind w:left="691" w:right="173" w:hanging="527"/>
              <w:jc w:val="left"/>
              <w:rPr>
                <w:b/>
                <w:sz w:val="24"/>
              </w:rPr>
            </w:pPr>
            <w:r>
              <w:rPr>
                <w:b/>
                <w:sz w:val="24"/>
              </w:rPr>
              <w:t>P-Saturation</w:t>
            </w:r>
            <w:r>
              <w:rPr>
                <w:b/>
                <w:spacing w:val="-15"/>
                <w:sz w:val="24"/>
              </w:rPr>
              <w:t> </w:t>
            </w:r>
            <w:r>
              <w:rPr>
                <w:b/>
                <w:sz w:val="24"/>
              </w:rPr>
              <w:t>Index (P/Al %)</w:t>
            </w:r>
          </w:p>
        </w:tc>
        <w:tc>
          <w:tcPr>
            <w:tcW w:w="2470" w:type="dxa"/>
            <w:tcBorders>
              <w:top w:val="single" w:sz="12" w:space="0" w:color="000000"/>
              <w:bottom w:val="single" w:sz="12" w:space="0" w:color="000000"/>
              <w:right w:val="single" w:sz="12" w:space="0" w:color="000000"/>
            </w:tcBorders>
          </w:tcPr>
          <w:p>
            <w:pPr>
              <w:pStyle w:val="TableParagraph"/>
              <w:spacing w:line="276" w:lineRule="exact"/>
              <w:ind w:left="572" w:right="184" w:hanging="366"/>
              <w:jc w:val="left"/>
              <w:rPr>
                <w:b/>
                <w:sz w:val="24"/>
              </w:rPr>
            </w:pPr>
            <w:r>
              <w:rPr>
                <w:b/>
                <w:sz w:val="24"/>
              </w:rPr>
              <w:t>Recommended</w:t>
            </w:r>
            <w:r>
              <w:rPr>
                <w:b/>
                <w:spacing w:val="-15"/>
                <w:sz w:val="24"/>
              </w:rPr>
              <w:t> </w:t>
            </w:r>
            <w:r>
              <w:rPr>
                <w:b/>
                <w:sz w:val="24"/>
              </w:rPr>
              <w:t>Rate (kg P</w:t>
            </w:r>
            <w:r>
              <w:rPr>
                <w:b/>
                <w:sz w:val="24"/>
                <w:vertAlign w:val="subscript"/>
              </w:rPr>
              <w:t>2</w:t>
            </w:r>
            <w:r>
              <w:rPr>
                <w:b/>
                <w:sz w:val="24"/>
                <w:vertAlign w:val="baseline"/>
              </w:rPr>
              <w:t>O</w:t>
            </w:r>
            <w:r>
              <w:rPr>
                <w:b/>
                <w:sz w:val="24"/>
                <w:vertAlign w:val="subscript"/>
              </w:rPr>
              <w:t>5</w:t>
            </w:r>
            <w:r>
              <w:rPr>
                <w:b/>
                <w:sz w:val="24"/>
                <w:vertAlign w:val="baseline"/>
              </w:rPr>
              <w:t> /ha)</w:t>
            </w:r>
          </w:p>
        </w:tc>
        <w:tc>
          <w:tcPr>
            <w:tcW w:w="18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7"/>
              <w:ind w:right="1"/>
              <w:rPr>
                <w:b/>
                <w:sz w:val="24"/>
              </w:rPr>
            </w:pPr>
            <w:r>
              <w:rPr>
                <w:b/>
                <w:sz w:val="24"/>
              </w:rPr>
              <w:t>(kg</w:t>
            </w:r>
            <w:r>
              <w:rPr>
                <w:b/>
                <w:spacing w:val="1"/>
                <w:sz w:val="24"/>
              </w:rPr>
              <w:t> </w:t>
            </w:r>
            <w:r>
              <w:rPr>
                <w:b/>
                <w:spacing w:val="-2"/>
                <w:sz w:val="24"/>
              </w:rPr>
              <w:t>P</w:t>
            </w:r>
            <w:r>
              <w:rPr>
                <w:b/>
                <w:spacing w:val="-2"/>
                <w:sz w:val="24"/>
                <w:vertAlign w:val="subscript"/>
              </w:rPr>
              <w:t>2</w:t>
            </w:r>
            <w:r>
              <w:rPr>
                <w:b/>
                <w:spacing w:val="-2"/>
                <w:sz w:val="24"/>
                <w:vertAlign w:val="baseline"/>
              </w:rPr>
              <w:t>O</w:t>
            </w:r>
            <w:r>
              <w:rPr>
                <w:b/>
                <w:spacing w:val="-2"/>
                <w:sz w:val="24"/>
                <w:vertAlign w:val="subscript"/>
              </w:rPr>
              <w:t>5</w:t>
            </w:r>
            <w:r>
              <w:rPr>
                <w:b/>
                <w:spacing w:val="-2"/>
                <w:sz w:val="24"/>
                <w:vertAlign w:val="baseline"/>
              </w:rPr>
              <w:t>/ha)</w:t>
            </w:r>
          </w:p>
        </w:tc>
      </w:tr>
      <w:tr>
        <w:trPr>
          <w:trHeight w:val="277" w:hRule="atLeast"/>
        </w:trPr>
        <w:tc>
          <w:tcPr>
            <w:tcW w:w="1202" w:type="dxa"/>
            <w:tcBorders>
              <w:top w:val="single" w:sz="12" w:space="0" w:color="000000"/>
              <w:left w:val="single" w:sz="12" w:space="0" w:color="000000"/>
            </w:tcBorders>
          </w:tcPr>
          <w:p>
            <w:pPr>
              <w:pStyle w:val="TableParagraph"/>
              <w:spacing w:line="258" w:lineRule="exact"/>
              <w:ind w:left="31" w:right="2"/>
              <w:rPr>
                <w:sz w:val="24"/>
              </w:rPr>
            </w:pPr>
            <w:r>
              <w:rPr>
                <w:spacing w:val="-5"/>
                <w:sz w:val="24"/>
              </w:rPr>
              <w:t>L-</w:t>
            </w:r>
          </w:p>
        </w:tc>
        <w:tc>
          <w:tcPr>
            <w:tcW w:w="2669" w:type="dxa"/>
            <w:tcBorders>
              <w:top w:val="single" w:sz="12" w:space="0" w:color="000000"/>
              <w:right w:val="single" w:sz="12" w:space="0" w:color="000000"/>
            </w:tcBorders>
          </w:tcPr>
          <w:p>
            <w:pPr>
              <w:pStyle w:val="TableParagraph"/>
              <w:spacing w:line="258" w:lineRule="exact"/>
              <w:ind w:left="59"/>
              <w:rPr>
                <w:sz w:val="24"/>
              </w:rPr>
            </w:pPr>
            <w:r>
              <w:rPr>
                <w:spacing w:val="-5"/>
                <w:sz w:val="24"/>
              </w:rPr>
              <w:t>400</w:t>
            </w:r>
          </w:p>
        </w:tc>
        <w:tc>
          <w:tcPr>
            <w:tcW w:w="2324" w:type="dxa"/>
            <w:tcBorders>
              <w:top w:val="single" w:sz="12" w:space="0" w:color="000000"/>
              <w:left w:val="single" w:sz="12" w:space="0" w:color="000000"/>
            </w:tcBorders>
          </w:tcPr>
          <w:p>
            <w:pPr>
              <w:pStyle w:val="TableParagraph"/>
              <w:spacing w:line="258" w:lineRule="exact"/>
              <w:ind w:left="0" w:right="11"/>
              <w:rPr>
                <w:sz w:val="24"/>
              </w:rPr>
            </w:pPr>
            <w:r>
              <w:rPr>
                <w:sz w:val="24"/>
              </w:rPr>
              <w:t>0-</w:t>
            </w:r>
            <w:r>
              <w:rPr>
                <w:spacing w:val="-5"/>
                <w:sz w:val="24"/>
              </w:rPr>
              <w:t>2.5</w:t>
            </w:r>
          </w:p>
        </w:tc>
        <w:tc>
          <w:tcPr>
            <w:tcW w:w="2470" w:type="dxa"/>
            <w:tcBorders>
              <w:top w:val="single" w:sz="12" w:space="0" w:color="000000"/>
              <w:right w:val="single" w:sz="12" w:space="0" w:color="000000"/>
            </w:tcBorders>
          </w:tcPr>
          <w:p>
            <w:pPr>
              <w:pStyle w:val="TableParagraph"/>
              <w:spacing w:line="258" w:lineRule="exact"/>
              <w:ind w:left="18"/>
              <w:rPr>
                <w:sz w:val="24"/>
              </w:rPr>
            </w:pPr>
            <w:r>
              <w:rPr>
                <w:sz w:val="24"/>
              </w:rPr>
              <w:t>240-</w:t>
            </w:r>
            <w:r>
              <w:rPr>
                <w:spacing w:val="-5"/>
                <w:sz w:val="24"/>
              </w:rPr>
              <w:t>300</w:t>
            </w:r>
          </w:p>
        </w:tc>
        <w:tc>
          <w:tcPr>
            <w:tcW w:w="1823" w:type="dxa"/>
            <w:tcBorders>
              <w:top w:val="single" w:sz="12" w:space="0" w:color="000000"/>
              <w:left w:val="single" w:sz="12" w:space="0" w:color="000000"/>
              <w:right w:val="single" w:sz="12" w:space="0" w:color="000000"/>
            </w:tcBorders>
          </w:tcPr>
          <w:p>
            <w:pPr>
              <w:pStyle w:val="TableParagraph"/>
              <w:spacing w:line="258" w:lineRule="exact"/>
              <w:rPr>
                <w:sz w:val="24"/>
              </w:rPr>
            </w:pPr>
            <w:r>
              <w:rPr>
                <w:sz w:val="24"/>
              </w:rPr>
              <w:t>100-</w:t>
            </w:r>
            <w:r>
              <w:rPr>
                <w:spacing w:val="-5"/>
                <w:sz w:val="24"/>
              </w:rPr>
              <w:t>160</w:t>
            </w:r>
          </w:p>
        </w:tc>
      </w:tr>
      <w:tr>
        <w:trPr>
          <w:trHeight w:val="276" w:hRule="atLeast"/>
        </w:trPr>
        <w:tc>
          <w:tcPr>
            <w:tcW w:w="1202" w:type="dxa"/>
            <w:tcBorders>
              <w:left w:val="single" w:sz="12" w:space="0" w:color="000000"/>
            </w:tcBorders>
          </w:tcPr>
          <w:p>
            <w:pPr>
              <w:pStyle w:val="TableParagraph"/>
              <w:ind w:left="31"/>
              <w:rPr>
                <w:sz w:val="24"/>
              </w:rPr>
            </w:pPr>
            <w:r>
              <w:rPr>
                <w:spacing w:val="-10"/>
                <w:sz w:val="24"/>
              </w:rPr>
              <w:t>L</w:t>
            </w:r>
          </w:p>
        </w:tc>
        <w:tc>
          <w:tcPr>
            <w:tcW w:w="2669" w:type="dxa"/>
            <w:tcBorders>
              <w:right w:val="single" w:sz="12" w:space="0" w:color="000000"/>
            </w:tcBorders>
          </w:tcPr>
          <w:p>
            <w:pPr>
              <w:pStyle w:val="TableParagraph"/>
              <w:ind w:left="59"/>
              <w:rPr>
                <w:sz w:val="24"/>
              </w:rPr>
            </w:pPr>
            <w:r>
              <w:rPr>
                <w:spacing w:val="-5"/>
                <w:sz w:val="24"/>
              </w:rPr>
              <w:t>275</w:t>
            </w:r>
          </w:p>
        </w:tc>
        <w:tc>
          <w:tcPr>
            <w:tcW w:w="2324" w:type="dxa"/>
            <w:tcBorders>
              <w:left w:val="single" w:sz="12" w:space="0" w:color="000000"/>
            </w:tcBorders>
          </w:tcPr>
          <w:p>
            <w:pPr>
              <w:pStyle w:val="TableParagraph"/>
              <w:ind w:left="768"/>
              <w:jc w:val="left"/>
              <w:rPr>
                <w:sz w:val="24"/>
              </w:rPr>
            </w:pPr>
            <w:r>
              <w:rPr>
                <w:sz w:val="24"/>
              </w:rPr>
              <w:t>&gt; 2.5- </w:t>
            </w:r>
            <w:r>
              <w:rPr>
                <w:spacing w:val="-10"/>
                <w:sz w:val="24"/>
              </w:rPr>
              <w:t>5</w:t>
            </w:r>
          </w:p>
        </w:tc>
        <w:tc>
          <w:tcPr>
            <w:tcW w:w="2470" w:type="dxa"/>
            <w:tcBorders>
              <w:right w:val="single" w:sz="12" w:space="0" w:color="000000"/>
            </w:tcBorders>
          </w:tcPr>
          <w:p>
            <w:pPr>
              <w:pStyle w:val="TableParagraph"/>
              <w:ind w:left="18" w:right="1"/>
              <w:rPr>
                <w:sz w:val="24"/>
              </w:rPr>
            </w:pPr>
            <w:r>
              <w:rPr>
                <w:spacing w:val="-5"/>
                <w:sz w:val="24"/>
              </w:rPr>
              <w:t>185</w:t>
            </w:r>
          </w:p>
        </w:tc>
        <w:tc>
          <w:tcPr>
            <w:tcW w:w="1823" w:type="dxa"/>
            <w:tcBorders>
              <w:left w:val="single" w:sz="12" w:space="0" w:color="000000"/>
              <w:right w:val="single" w:sz="12" w:space="0" w:color="000000"/>
            </w:tcBorders>
          </w:tcPr>
          <w:p>
            <w:pPr>
              <w:pStyle w:val="TableParagraph"/>
              <w:ind w:right="1"/>
              <w:rPr>
                <w:sz w:val="24"/>
              </w:rPr>
            </w:pPr>
            <w:r>
              <w:rPr>
                <w:spacing w:val="-5"/>
                <w:sz w:val="24"/>
              </w:rPr>
              <w:t>90</w:t>
            </w:r>
          </w:p>
        </w:tc>
      </w:tr>
      <w:tr>
        <w:trPr>
          <w:trHeight w:val="276" w:hRule="atLeast"/>
        </w:trPr>
        <w:tc>
          <w:tcPr>
            <w:tcW w:w="1202" w:type="dxa"/>
            <w:tcBorders>
              <w:left w:val="single" w:sz="12" w:space="0" w:color="000000"/>
            </w:tcBorders>
          </w:tcPr>
          <w:p>
            <w:pPr>
              <w:pStyle w:val="TableParagraph"/>
              <w:ind w:left="31" w:right="1"/>
              <w:rPr>
                <w:sz w:val="24"/>
              </w:rPr>
            </w:pPr>
            <w:r>
              <w:rPr>
                <w:spacing w:val="-10"/>
                <w:sz w:val="24"/>
              </w:rPr>
              <w:t>M</w:t>
            </w:r>
          </w:p>
        </w:tc>
        <w:tc>
          <w:tcPr>
            <w:tcW w:w="2669" w:type="dxa"/>
            <w:tcBorders>
              <w:right w:val="single" w:sz="12" w:space="0" w:color="000000"/>
            </w:tcBorders>
          </w:tcPr>
          <w:p>
            <w:pPr>
              <w:pStyle w:val="TableParagraph"/>
              <w:ind w:left="59"/>
              <w:rPr>
                <w:sz w:val="24"/>
              </w:rPr>
            </w:pPr>
            <w:r>
              <w:rPr>
                <w:spacing w:val="-5"/>
                <w:sz w:val="24"/>
              </w:rPr>
              <w:t>200</w:t>
            </w:r>
          </w:p>
        </w:tc>
        <w:tc>
          <w:tcPr>
            <w:tcW w:w="2324" w:type="dxa"/>
            <w:tcBorders>
              <w:left w:val="single" w:sz="12" w:space="0" w:color="000000"/>
            </w:tcBorders>
          </w:tcPr>
          <w:p>
            <w:pPr>
              <w:pStyle w:val="TableParagraph"/>
              <w:ind w:left="768"/>
              <w:jc w:val="left"/>
              <w:rPr>
                <w:sz w:val="24"/>
              </w:rPr>
            </w:pPr>
            <w:r>
              <w:rPr>
                <w:sz w:val="24"/>
              </w:rPr>
              <w:t>&gt; 5-</w:t>
            </w:r>
            <w:r>
              <w:rPr>
                <w:spacing w:val="-5"/>
                <w:sz w:val="24"/>
              </w:rPr>
              <w:t>10</w:t>
            </w:r>
          </w:p>
        </w:tc>
        <w:tc>
          <w:tcPr>
            <w:tcW w:w="2470" w:type="dxa"/>
            <w:tcBorders>
              <w:right w:val="single" w:sz="12" w:space="0" w:color="000000"/>
            </w:tcBorders>
          </w:tcPr>
          <w:p>
            <w:pPr>
              <w:pStyle w:val="TableParagraph"/>
              <w:ind w:left="18" w:right="1"/>
              <w:rPr>
                <w:sz w:val="24"/>
              </w:rPr>
            </w:pPr>
            <w:r>
              <w:rPr>
                <w:spacing w:val="-5"/>
                <w:sz w:val="24"/>
              </w:rPr>
              <w:t>160</w:t>
            </w:r>
          </w:p>
        </w:tc>
        <w:tc>
          <w:tcPr>
            <w:tcW w:w="1823" w:type="dxa"/>
            <w:tcBorders>
              <w:left w:val="single" w:sz="12" w:space="0" w:color="000000"/>
              <w:right w:val="single" w:sz="12" w:space="0" w:color="000000"/>
            </w:tcBorders>
          </w:tcPr>
          <w:p>
            <w:pPr>
              <w:pStyle w:val="TableParagraph"/>
              <w:ind w:right="1"/>
              <w:rPr>
                <w:sz w:val="24"/>
              </w:rPr>
            </w:pPr>
            <w:r>
              <w:rPr>
                <w:spacing w:val="-5"/>
                <w:sz w:val="24"/>
              </w:rPr>
              <w:t>40</w:t>
            </w:r>
          </w:p>
        </w:tc>
      </w:tr>
      <w:tr>
        <w:trPr>
          <w:trHeight w:val="275" w:hRule="atLeast"/>
        </w:trPr>
        <w:tc>
          <w:tcPr>
            <w:tcW w:w="1202" w:type="dxa"/>
            <w:tcBorders>
              <w:left w:val="single" w:sz="12" w:space="0" w:color="000000"/>
            </w:tcBorders>
          </w:tcPr>
          <w:p>
            <w:pPr>
              <w:pStyle w:val="TableParagraph"/>
              <w:ind w:left="31" w:right="2"/>
              <w:rPr>
                <w:sz w:val="24"/>
              </w:rPr>
            </w:pPr>
            <w:r>
              <w:rPr>
                <w:spacing w:val="-5"/>
                <w:sz w:val="24"/>
              </w:rPr>
              <w:t>M+</w:t>
            </w:r>
          </w:p>
        </w:tc>
        <w:tc>
          <w:tcPr>
            <w:tcW w:w="2669" w:type="dxa"/>
            <w:tcBorders>
              <w:right w:val="single" w:sz="12" w:space="0" w:color="000000"/>
            </w:tcBorders>
          </w:tcPr>
          <w:p>
            <w:pPr>
              <w:pStyle w:val="TableParagraph"/>
              <w:ind w:left="59"/>
              <w:rPr>
                <w:sz w:val="24"/>
              </w:rPr>
            </w:pPr>
            <w:r>
              <w:rPr>
                <w:spacing w:val="-5"/>
                <w:sz w:val="24"/>
              </w:rPr>
              <w:t>200</w:t>
            </w:r>
          </w:p>
        </w:tc>
        <w:tc>
          <w:tcPr>
            <w:tcW w:w="2324" w:type="dxa"/>
            <w:tcBorders>
              <w:left w:val="single" w:sz="12" w:space="0" w:color="000000"/>
            </w:tcBorders>
          </w:tcPr>
          <w:p>
            <w:pPr>
              <w:pStyle w:val="TableParagraph"/>
              <w:ind w:left="770"/>
              <w:jc w:val="left"/>
              <w:rPr>
                <w:sz w:val="24"/>
              </w:rPr>
            </w:pPr>
            <w:r>
              <w:rPr>
                <w:sz w:val="24"/>
              </w:rPr>
              <w:t>&gt; 10-</w:t>
            </w:r>
            <w:r>
              <w:rPr>
                <w:spacing w:val="-5"/>
                <w:sz w:val="24"/>
              </w:rPr>
              <w:t>14</w:t>
            </w:r>
          </w:p>
        </w:tc>
        <w:tc>
          <w:tcPr>
            <w:tcW w:w="2470" w:type="dxa"/>
            <w:tcBorders>
              <w:right w:val="single" w:sz="12" w:space="0" w:color="000000"/>
            </w:tcBorders>
          </w:tcPr>
          <w:p>
            <w:pPr>
              <w:pStyle w:val="TableParagraph"/>
              <w:ind w:left="18" w:right="1"/>
              <w:rPr>
                <w:sz w:val="24"/>
              </w:rPr>
            </w:pPr>
            <w:r>
              <w:rPr>
                <w:spacing w:val="-5"/>
                <w:sz w:val="24"/>
              </w:rPr>
              <w:t>100</w:t>
            </w:r>
          </w:p>
        </w:tc>
        <w:tc>
          <w:tcPr>
            <w:tcW w:w="1823" w:type="dxa"/>
            <w:tcBorders>
              <w:left w:val="single" w:sz="12" w:space="0" w:color="000000"/>
              <w:right w:val="single" w:sz="12" w:space="0" w:color="000000"/>
            </w:tcBorders>
          </w:tcPr>
          <w:p>
            <w:pPr>
              <w:pStyle w:val="TableParagraph"/>
              <w:ind w:right="1"/>
              <w:rPr>
                <w:sz w:val="24"/>
              </w:rPr>
            </w:pPr>
            <w:r>
              <w:rPr>
                <w:spacing w:val="-5"/>
                <w:sz w:val="24"/>
              </w:rPr>
              <w:t>100</w:t>
            </w:r>
          </w:p>
        </w:tc>
      </w:tr>
      <w:tr>
        <w:trPr>
          <w:trHeight w:val="276" w:hRule="atLeast"/>
        </w:trPr>
        <w:tc>
          <w:tcPr>
            <w:tcW w:w="1202" w:type="dxa"/>
            <w:tcBorders>
              <w:left w:val="single" w:sz="12" w:space="0" w:color="000000"/>
            </w:tcBorders>
          </w:tcPr>
          <w:p>
            <w:pPr>
              <w:pStyle w:val="TableParagraph"/>
              <w:ind w:left="31"/>
              <w:rPr>
                <w:sz w:val="24"/>
              </w:rPr>
            </w:pPr>
            <w:r>
              <w:rPr>
                <w:spacing w:val="-10"/>
                <w:sz w:val="24"/>
              </w:rPr>
              <w:t>H</w:t>
            </w:r>
          </w:p>
        </w:tc>
        <w:tc>
          <w:tcPr>
            <w:tcW w:w="2669" w:type="dxa"/>
            <w:tcBorders>
              <w:right w:val="single" w:sz="12" w:space="0" w:color="000000"/>
            </w:tcBorders>
          </w:tcPr>
          <w:p>
            <w:pPr>
              <w:pStyle w:val="TableParagraph"/>
              <w:ind w:left="59"/>
              <w:rPr>
                <w:sz w:val="24"/>
              </w:rPr>
            </w:pPr>
            <w:r>
              <w:rPr>
                <w:spacing w:val="-5"/>
                <w:sz w:val="24"/>
              </w:rPr>
              <w:t>135</w:t>
            </w:r>
          </w:p>
        </w:tc>
        <w:tc>
          <w:tcPr>
            <w:tcW w:w="2324" w:type="dxa"/>
            <w:tcBorders>
              <w:left w:val="single" w:sz="12" w:space="0" w:color="000000"/>
            </w:tcBorders>
          </w:tcPr>
          <w:p>
            <w:pPr>
              <w:pStyle w:val="TableParagraph"/>
              <w:ind w:left="770"/>
              <w:jc w:val="left"/>
              <w:rPr>
                <w:sz w:val="24"/>
              </w:rPr>
            </w:pPr>
            <w:r>
              <w:rPr>
                <w:sz w:val="24"/>
              </w:rPr>
              <w:t>&gt; 14-</w:t>
            </w:r>
            <w:r>
              <w:rPr>
                <w:spacing w:val="-5"/>
                <w:sz w:val="24"/>
              </w:rPr>
              <w:t>16</w:t>
            </w:r>
          </w:p>
        </w:tc>
        <w:tc>
          <w:tcPr>
            <w:tcW w:w="2470" w:type="dxa"/>
            <w:tcBorders>
              <w:right w:val="single" w:sz="12" w:space="0" w:color="000000"/>
            </w:tcBorders>
          </w:tcPr>
          <w:p>
            <w:pPr>
              <w:pStyle w:val="TableParagraph"/>
              <w:ind w:left="18" w:right="1"/>
              <w:rPr>
                <w:sz w:val="24"/>
              </w:rPr>
            </w:pPr>
            <w:r>
              <w:rPr>
                <w:spacing w:val="-5"/>
                <w:sz w:val="24"/>
              </w:rPr>
              <w:t>75</w:t>
            </w:r>
          </w:p>
        </w:tc>
        <w:tc>
          <w:tcPr>
            <w:tcW w:w="1823" w:type="dxa"/>
            <w:tcBorders>
              <w:left w:val="single" w:sz="12" w:space="0" w:color="000000"/>
              <w:right w:val="single" w:sz="12" w:space="0" w:color="000000"/>
            </w:tcBorders>
          </w:tcPr>
          <w:p>
            <w:pPr>
              <w:pStyle w:val="TableParagraph"/>
              <w:ind w:right="1"/>
              <w:rPr>
                <w:sz w:val="24"/>
              </w:rPr>
            </w:pPr>
            <w:r>
              <w:rPr>
                <w:spacing w:val="-5"/>
                <w:sz w:val="24"/>
              </w:rPr>
              <w:t>60</w:t>
            </w:r>
          </w:p>
        </w:tc>
      </w:tr>
      <w:tr>
        <w:trPr>
          <w:trHeight w:val="274" w:hRule="atLeast"/>
        </w:trPr>
        <w:tc>
          <w:tcPr>
            <w:tcW w:w="1202" w:type="dxa"/>
            <w:tcBorders>
              <w:left w:val="single" w:sz="12" w:space="0" w:color="000000"/>
              <w:bottom w:val="single" w:sz="12" w:space="0" w:color="000000"/>
            </w:tcBorders>
          </w:tcPr>
          <w:p>
            <w:pPr>
              <w:pStyle w:val="TableParagraph"/>
              <w:spacing w:line="254" w:lineRule="exact"/>
              <w:ind w:left="31" w:right="2"/>
              <w:rPr>
                <w:sz w:val="24"/>
              </w:rPr>
            </w:pPr>
            <w:r>
              <w:rPr>
                <w:spacing w:val="-5"/>
                <w:sz w:val="24"/>
              </w:rPr>
              <w:t>H+</w:t>
            </w:r>
          </w:p>
        </w:tc>
        <w:tc>
          <w:tcPr>
            <w:tcW w:w="2669" w:type="dxa"/>
            <w:tcBorders>
              <w:bottom w:val="single" w:sz="12" w:space="0" w:color="000000"/>
              <w:right w:val="single" w:sz="12" w:space="0" w:color="000000"/>
            </w:tcBorders>
          </w:tcPr>
          <w:p>
            <w:pPr>
              <w:pStyle w:val="TableParagraph"/>
              <w:spacing w:line="254" w:lineRule="exact"/>
              <w:ind w:left="59"/>
              <w:rPr>
                <w:sz w:val="24"/>
              </w:rPr>
            </w:pPr>
            <w:r>
              <w:rPr>
                <w:spacing w:val="-5"/>
                <w:sz w:val="24"/>
              </w:rPr>
              <w:t>135</w:t>
            </w:r>
          </w:p>
        </w:tc>
        <w:tc>
          <w:tcPr>
            <w:tcW w:w="2324" w:type="dxa"/>
            <w:tcBorders>
              <w:left w:val="single" w:sz="12" w:space="0" w:color="000000"/>
              <w:bottom w:val="single" w:sz="12" w:space="0" w:color="000000"/>
            </w:tcBorders>
          </w:tcPr>
          <w:p>
            <w:pPr>
              <w:pStyle w:val="TableParagraph"/>
              <w:spacing w:line="254" w:lineRule="exact"/>
              <w:ind w:left="770"/>
              <w:jc w:val="left"/>
              <w:rPr>
                <w:sz w:val="24"/>
              </w:rPr>
            </w:pPr>
            <w:r>
              <w:rPr>
                <w:sz w:val="24"/>
              </w:rPr>
              <w:t>&gt; 16-</w:t>
            </w:r>
            <w:r>
              <w:rPr>
                <w:spacing w:val="-5"/>
                <w:sz w:val="24"/>
              </w:rPr>
              <w:t>23</w:t>
            </w:r>
          </w:p>
        </w:tc>
        <w:tc>
          <w:tcPr>
            <w:tcW w:w="2470" w:type="dxa"/>
            <w:tcBorders>
              <w:bottom w:val="single" w:sz="12" w:space="0" w:color="000000"/>
              <w:right w:val="single" w:sz="12" w:space="0" w:color="000000"/>
            </w:tcBorders>
          </w:tcPr>
          <w:p>
            <w:pPr>
              <w:pStyle w:val="TableParagraph"/>
              <w:spacing w:line="254" w:lineRule="exact"/>
              <w:ind w:left="18" w:right="1"/>
              <w:rPr>
                <w:sz w:val="24"/>
              </w:rPr>
            </w:pPr>
            <w:r>
              <w:rPr>
                <w:spacing w:val="-5"/>
                <w:sz w:val="24"/>
              </w:rPr>
              <w:t>50</w:t>
            </w:r>
          </w:p>
        </w:tc>
        <w:tc>
          <w:tcPr>
            <w:tcW w:w="1823" w:type="dxa"/>
            <w:tcBorders>
              <w:left w:val="single" w:sz="12" w:space="0" w:color="000000"/>
              <w:bottom w:val="single" w:sz="12" w:space="0" w:color="000000"/>
              <w:right w:val="single" w:sz="12" w:space="0" w:color="000000"/>
            </w:tcBorders>
          </w:tcPr>
          <w:p>
            <w:pPr>
              <w:pStyle w:val="TableParagraph"/>
              <w:spacing w:line="254" w:lineRule="exact"/>
              <w:ind w:right="1"/>
              <w:rPr>
                <w:sz w:val="24"/>
              </w:rPr>
            </w:pPr>
            <w:r>
              <w:rPr>
                <w:spacing w:val="-5"/>
                <w:sz w:val="24"/>
              </w:rPr>
              <w:t>85</w:t>
            </w:r>
          </w:p>
        </w:tc>
      </w:tr>
    </w:tbl>
    <w:p>
      <w:pPr>
        <w:pStyle w:val="TableParagraph"/>
        <w:spacing w:after="0" w:line="254" w:lineRule="exact"/>
        <w:rPr>
          <w:sz w:val="24"/>
        </w:rPr>
        <w:sectPr>
          <w:type w:val="continuous"/>
          <w:pgSz w:w="12240" w:h="15840"/>
          <w:pgMar w:header="752" w:footer="0" w:top="640" w:bottom="280" w:left="720" w:right="720"/>
        </w:sectPr>
      </w:pPr>
    </w:p>
    <w:p>
      <w:pPr>
        <w:pStyle w:val="BodyText"/>
        <w:rPr>
          <w:sz w:val="20"/>
        </w:rPr>
      </w:pPr>
    </w:p>
    <w:p>
      <w:pPr>
        <w:pStyle w:val="BodyText"/>
        <w:spacing w:before="5"/>
        <w:rPr>
          <w:sz w:val="20"/>
        </w:rPr>
      </w:pPr>
    </w:p>
    <w:p>
      <w:pPr>
        <w:spacing w:line="276" w:lineRule="auto" w:before="0"/>
        <w:ind w:left="720" w:right="785" w:firstLine="0"/>
        <w:jc w:val="left"/>
        <w:rPr>
          <w:sz w:val="20"/>
        </w:rPr>
      </w:pPr>
      <w:r>
        <w:rPr>
          <w:sz w:val="20"/>
        </w:rPr>
        <w:t>This factsheet was prepared by Kyra Stiles (Sustainable Agriculture Resource Section of the PEI Department of Agriculture and Fisheries) and Dr. Judith Nyiraneza (Charlottetown Research and Development Centre of Agriculture</w:t>
      </w:r>
      <w:r>
        <w:rPr>
          <w:spacing w:val="-3"/>
          <w:sz w:val="20"/>
        </w:rPr>
        <w:t> </w:t>
      </w:r>
      <w:r>
        <w:rPr>
          <w:sz w:val="20"/>
        </w:rPr>
        <w:t>and</w:t>
      </w:r>
      <w:r>
        <w:rPr>
          <w:spacing w:val="-4"/>
          <w:sz w:val="20"/>
        </w:rPr>
        <w:t> </w:t>
      </w:r>
      <w:r>
        <w:rPr>
          <w:sz w:val="20"/>
        </w:rPr>
        <w:t>Agri-Food</w:t>
      </w:r>
      <w:r>
        <w:rPr>
          <w:spacing w:val="-3"/>
          <w:sz w:val="20"/>
        </w:rPr>
        <w:t> </w:t>
      </w:r>
      <w:r>
        <w:rPr>
          <w:sz w:val="20"/>
        </w:rPr>
        <w:t>Canada).</w:t>
      </w:r>
      <w:r>
        <w:rPr>
          <w:spacing w:val="-4"/>
          <w:sz w:val="20"/>
        </w:rPr>
        <w:t> </w:t>
      </w:r>
      <w:r>
        <w:rPr>
          <w:sz w:val="20"/>
        </w:rPr>
        <w:t>For</w:t>
      </w:r>
      <w:r>
        <w:rPr>
          <w:spacing w:val="-3"/>
          <w:sz w:val="20"/>
        </w:rPr>
        <w:t> </w:t>
      </w:r>
      <w:r>
        <w:rPr>
          <w:sz w:val="20"/>
        </w:rPr>
        <w:t>more</w:t>
      </w:r>
      <w:r>
        <w:rPr>
          <w:spacing w:val="-3"/>
          <w:sz w:val="20"/>
        </w:rPr>
        <w:t> </w:t>
      </w:r>
      <w:r>
        <w:rPr>
          <w:sz w:val="20"/>
        </w:rPr>
        <w:t>information,</w:t>
      </w:r>
      <w:r>
        <w:rPr>
          <w:spacing w:val="-3"/>
          <w:sz w:val="20"/>
        </w:rPr>
        <w:t> </w:t>
      </w:r>
      <w:r>
        <w:rPr>
          <w:sz w:val="20"/>
        </w:rPr>
        <w:t>please</w:t>
      </w:r>
      <w:r>
        <w:rPr>
          <w:spacing w:val="-3"/>
          <w:sz w:val="20"/>
        </w:rPr>
        <w:t> </w:t>
      </w:r>
      <w:r>
        <w:rPr>
          <w:sz w:val="20"/>
        </w:rPr>
        <w:t>contact:</w:t>
      </w:r>
      <w:r>
        <w:rPr>
          <w:spacing w:val="-4"/>
          <w:sz w:val="20"/>
        </w:rPr>
        <w:t> </w:t>
      </w:r>
      <w:hyperlink r:id="rId8">
        <w:r>
          <w:rPr>
            <w:color w:val="0000FF"/>
            <w:sz w:val="20"/>
            <w:u w:val="single" w:color="0000FF"/>
          </w:rPr>
          <w:t>kstiles@gov.pe.ca</w:t>
        </w:r>
        <w:r>
          <w:rPr>
            <w:sz w:val="20"/>
          </w:rPr>
          <w:t>.</w:t>
        </w:r>
      </w:hyperlink>
      <w:r>
        <w:rPr>
          <w:sz w:val="20"/>
        </w:rPr>
        <w:t>,</w:t>
      </w:r>
      <w:r>
        <w:rPr>
          <w:spacing w:val="-3"/>
          <w:sz w:val="20"/>
        </w:rPr>
        <w:t> </w:t>
      </w:r>
      <w:r>
        <w:rPr>
          <w:sz w:val="20"/>
        </w:rPr>
        <w:t>or</w:t>
      </w:r>
      <w:r>
        <w:rPr>
          <w:spacing w:val="-4"/>
          <w:sz w:val="20"/>
        </w:rPr>
        <w:t> </w:t>
      </w:r>
      <w:r>
        <w:rPr>
          <w:sz w:val="20"/>
        </w:rPr>
        <w:t>by</w:t>
      </w:r>
      <w:r>
        <w:rPr>
          <w:spacing w:val="-3"/>
          <w:sz w:val="20"/>
        </w:rPr>
        <w:t> </w:t>
      </w:r>
      <w:r>
        <w:rPr>
          <w:sz w:val="20"/>
        </w:rPr>
        <w:t>telephone</w:t>
      </w:r>
      <w:r>
        <w:rPr>
          <w:spacing w:val="-5"/>
          <w:sz w:val="20"/>
        </w:rPr>
        <w:t> </w:t>
      </w:r>
      <w:r>
        <w:rPr>
          <w:sz w:val="20"/>
        </w:rPr>
        <w:t>at (902) 368-4145.</w:t>
      </w:r>
    </w:p>
    <w:p>
      <w:pPr>
        <w:spacing w:line="276" w:lineRule="auto" w:before="200"/>
        <w:ind w:left="720" w:right="785" w:firstLine="0"/>
        <w:jc w:val="left"/>
        <w:rPr>
          <w:sz w:val="20"/>
        </w:rPr>
      </w:pPr>
      <w:r>
        <w:rPr>
          <w:b/>
          <w:sz w:val="20"/>
        </w:rPr>
        <w:t>Acknowledgements: </w:t>
      </w:r>
      <w:r>
        <w:rPr>
          <w:sz w:val="20"/>
        </w:rPr>
        <w:t>Special appreciation goes to all growers associated with the field trials for this work (Linkletter Farms, Rollo Bay Holdings, Birch Farm, MacLennan Properties and Kensington North Watershed Association). Sample analyses were carried out by Rim Ben Jannet (a Ph.D. student enrolled at Laval University under</w:t>
      </w:r>
      <w:r>
        <w:rPr>
          <w:spacing w:val="-2"/>
          <w:sz w:val="20"/>
        </w:rPr>
        <w:t> </w:t>
      </w:r>
      <w:r>
        <w:rPr>
          <w:sz w:val="20"/>
        </w:rPr>
        <w:t>the</w:t>
      </w:r>
      <w:r>
        <w:rPr>
          <w:spacing w:val="-4"/>
          <w:sz w:val="20"/>
        </w:rPr>
        <w:t> </w:t>
      </w:r>
      <w:r>
        <w:rPr>
          <w:sz w:val="20"/>
        </w:rPr>
        <w:t>supervision</w:t>
      </w:r>
      <w:r>
        <w:rPr>
          <w:spacing w:val="-3"/>
          <w:sz w:val="20"/>
        </w:rPr>
        <w:t> </w:t>
      </w:r>
      <w:r>
        <w:rPr>
          <w:sz w:val="20"/>
        </w:rPr>
        <w:t>of</w:t>
      </w:r>
      <w:r>
        <w:rPr>
          <w:spacing w:val="-3"/>
          <w:sz w:val="20"/>
        </w:rPr>
        <w:t> </w:t>
      </w:r>
      <w:r>
        <w:rPr>
          <w:sz w:val="20"/>
        </w:rPr>
        <w:t>Drs.</w:t>
      </w:r>
      <w:r>
        <w:rPr>
          <w:spacing w:val="-2"/>
          <w:sz w:val="20"/>
        </w:rPr>
        <w:t> </w:t>
      </w:r>
      <w:r>
        <w:rPr>
          <w:sz w:val="20"/>
        </w:rPr>
        <w:t>Lotfi</w:t>
      </w:r>
      <w:r>
        <w:rPr>
          <w:spacing w:val="-3"/>
          <w:sz w:val="20"/>
        </w:rPr>
        <w:t> </w:t>
      </w:r>
      <w:r>
        <w:rPr>
          <w:sz w:val="20"/>
        </w:rPr>
        <w:t>Khiari</w:t>
      </w:r>
      <w:r>
        <w:rPr>
          <w:spacing w:val="-2"/>
          <w:sz w:val="20"/>
        </w:rPr>
        <w:t> </w:t>
      </w:r>
      <w:r>
        <w:rPr>
          <w:sz w:val="20"/>
        </w:rPr>
        <w:t>and</w:t>
      </w:r>
      <w:r>
        <w:rPr>
          <w:spacing w:val="-2"/>
          <w:sz w:val="20"/>
        </w:rPr>
        <w:t> </w:t>
      </w:r>
      <w:r>
        <w:rPr>
          <w:sz w:val="20"/>
        </w:rPr>
        <w:t>Judith</w:t>
      </w:r>
      <w:r>
        <w:rPr>
          <w:spacing w:val="-2"/>
          <w:sz w:val="20"/>
        </w:rPr>
        <w:t> </w:t>
      </w:r>
      <w:r>
        <w:rPr>
          <w:sz w:val="20"/>
        </w:rPr>
        <w:t>Nyiraneza).</w:t>
      </w:r>
      <w:r>
        <w:rPr>
          <w:spacing w:val="-2"/>
          <w:sz w:val="20"/>
        </w:rPr>
        <w:t> </w:t>
      </w:r>
      <w:r>
        <w:rPr>
          <w:sz w:val="20"/>
        </w:rPr>
        <w:t>The</w:t>
      </w:r>
      <w:r>
        <w:rPr>
          <w:spacing w:val="-2"/>
          <w:sz w:val="20"/>
        </w:rPr>
        <w:t> </w:t>
      </w:r>
      <w:r>
        <w:rPr>
          <w:sz w:val="20"/>
        </w:rPr>
        <w:t>project</w:t>
      </w:r>
      <w:r>
        <w:rPr>
          <w:spacing w:val="-3"/>
          <w:sz w:val="20"/>
        </w:rPr>
        <w:t> </w:t>
      </w:r>
      <w:r>
        <w:rPr>
          <w:sz w:val="20"/>
        </w:rPr>
        <w:t>was</w:t>
      </w:r>
      <w:r>
        <w:rPr>
          <w:spacing w:val="-3"/>
          <w:sz w:val="20"/>
        </w:rPr>
        <w:t> </w:t>
      </w:r>
      <w:r>
        <w:rPr>
          <w:sz w:val="20"/>
        </w:rPr>
        <w:t>funded</w:t>
      </w:r>
      <w:r>
        <w:rPr>
          <w:spacing w:val="-2"/>
          <w:sz w:val="20"/>
        </w:rPr>
        <w:t> </w:t>
      </w:r>
      <w:r>
        <w:rPr>
          <w:sz w:val="20"/>
        </w:rPr>
        <w:t>by</w:t>
      </w:r>
      <w:r>
        <w:rPr>
          <w:spacing w:val="-4"/>
          <w:sz w:val="20"/>
        </w:rPr>
        <w:t> </w:t>
      </w:r>
      <w:r>
        <w:rPr>
          <w:sz w:val="20"/>
        </w:rPr>
        <w:t>Agriculture</w:t>
      </w:r>
      <w:r>
        <w:rPr>
          <w:spacing w:val="-4"/>
          <w:sz w:val="20"/>
        </w:rPr>
        <w:t> </w:t>
      </w:r>
      <w:r>
        <w:rPr>
          <w:sz w:val="20"/>
        </w:rPr>
        <w:t>and</w:t>
      </w:r>
      <w:r>
        <w:rPr>
          <w:spacing w:val="-3"/>
          <w:sz w:val="20"/>
        </w:rPr>
        <w:t> </w:t>
      </w:r>
      <w:r>
        <w:rPr>
          <w:sz w:val="20"/>
        </w:rPr>
        <w:t>Agri- Food Canada.</w:t>
      </w:r>
    </w:p>
    <w:p>
      <w:pPr>
        <w:spacing w:before="203"/>
        <w:ind w:left="720" w:right="0" w:firstLine="0"/>
        <w:jc w:val="left"/>
        <w:rPr>
          <w:b/>
          <w:sz w:val="20"/>
        </w:rPr>
      </w:pPr>
      <w:r>
        <w:rPr>
          <w:b/>
          <w:spacing w:val="-2"/>
          <w:sz w:val="20"/>
        </w:rPr>
        <w:t>References:</w:t>
      </w:r>
    </w:p>
    <w:p>
      <w:pPr>
        <w:pStyle w:val="BodyText"/>
        <w:spacing w:before="2"/>
        <w:rPr>
          <w:b/>
          <w:sz w:val="20"/>
        </w:rPr>
      </w:pPr>
    </w:p>
    <w:p>
      <w:pPr>
        <w:spacing w:line="276" w:lineRule="auto" w:before="0"/>
        <w:ind w:left="720" w:right="785" w:firstLine="50"/>
        <w:jc w:val="left"/>
        <w:rPr>
          <w:sz w:val="20"/>
        </w:rPr>
      </w:pPr>
      <w:r>
        <w:rPr>
          <w:sz w:val="20"/>
        </w:rPr>
        <w:t>CRAAQ</w:t>
      </w:r>
      <w:r>
        <w:rPr>
          <w:spacing w:val="-2"/>
          <w:sz w:val="20"/>
        </w:rPr>
        <w:t> </w:t>
      </w:r>
      <w:r>
        <w:rPr>
          <w:sz w:val="20"/>
        </w:rPr>
        <w:t>2010.</w:t>
      </w:r>
      <w:r>
        <w:rPr>
          <w:spacing w:val="-2"/>
          <w:sz w:val="20"/>
        </w:rPr>
        <w:t> </w:t>
      </w:r>
      <w:r>
        <w:rPr>
          <w:sz w:val="20"/>
        </w:rPr>
        <w:t>Centre</w:t>
      </w:r>
      <w:r>
        <w:rPr>
          <w:spacing w:val="-3"/>
          <w:sz w:val="20"/>
        </w:rPr>
        <w:t> </w:t>
      </w:r>
      <w:r>
        <w:rPr>
          <w:sz w:val="20"/>
        </w:rPr>
        <w:t>de</w:t>
      </w:r>
      <w:r>
        <w:rPr>
          <w:spacing w:val="-3"/>
          <w:sz w:val="20"/>
        </w:rPr>
        <w:t> </w:t>
      </w:r>
      <w:r>
        <w:rPr>
          <w:sz w:val="20"/>
        </w:rPr>
        <w:t>référence</w:t>
      </w:r>
      <w:r>
        <w:rPr>
          <w:spacing w:val="-3"/>
          <w:sz w:val="20"/>
        </w:rPr>
        <w:t> </w:t>
      </w:r>
      <w:r>
        <w:rPr>
          <w:sz w:val="20"/>
        </w:rPr>
        <w:t>en</w:t>
      </w:r>
      <w:r>
        <w:rPr>
          <w:spacing w:val="-3"/>
          <w:sz w:val="20"/>
        </w:rPr>
        <w:t> </w:t>
      </w:r>
      <w:r>
        <w:rPr>
          <w:sz w:val="20"/>
        </w:rPr>
        <w:t>agriculture</w:t>
      </w:r>
      <w:r>
        <w:rPr>
          <w:spacing w:val="-4"/>
          <w:sz w:val="20"/>
        </w:rPr>
        <w:t> </w:t>
      </w:r>
      <w:r>
        <w:rPr>
          <w:sz w:val="20"/>
        </w:rPr>
        <w:t>et</w:t>
      </w:r>
      <w:r>
        <w:rPr>
          <w:spacing w:val="-2"/>
          <w:sz w:val="20"/>
        </w:rPr>
        <w:t> </w:t>
      </w:r>
      <w:r>
        <w:rPr>
          <w:sz w:val="20"/>
        </w:rPr>
        <w:t>agroalimentaire</w:t>
      </w:r>
      <w:r>
        <w:rPr>
          <w:spacing w:val="-2"/>
          <w:sz w:val="20"/>
        </w:rPr>
        <w:t> </w:t>
      </w:r>
      <w:r>
        <w:rPr>
          <w:sz w:val="20"/>
        </w:rPr>
        <w:t>du</w:t>
      </w:r>
      <w:r>
        <w:rPr>
          <w:spacing w:val="-2"/>
          <w:sz w:val="20"/>
        </w:rPr>
        <w:t> </w:t>
      </w:r>
      <w:r>
        <w:rPr>
          <w:sz w:val="20"/>
        </w:rPr>
        <w:t>Quebec</w:t>
      </w:r>
      <w:r>
        <w:rPr>
          <w:spacing w:val="-2"/>
          <w:sz w:val="20"/>
        </w:rPr>
        <w:t> </w:t>
      </w:r>
      <w:r>
        <w:rPr>
          <w:sz w:val="20"/>
        </w:rPr>
        <w:t>(CRAAQ),</w:t>
      </w:r>
      <w:r>
        <w:rPr>
          <w:spacing w:val="-3"/>
          <w:sz w:val="20"/>
        </w:rPr>
        <w:t> </w:t>
      </w:r>
      <w:r>
        <w:rPr>
          <w:sz w:val="20"/>
        </w:rPr>
        <w:t>2</w:t>
      </w:r>
      <w:r>
        <w:rPr>
          <w:sz w:val="20"/>
          <w:vertAlign w:val="superscript"/>
        </w:rPr>
        <w:t>nd</w:t>
      </w:r>
      <w:r>
        <w:rPr>
          <w:spacing w:val="-3"/>
          <w:sz w:val="20"/>
          <w:vertAlign w:val="baseline"/>
        </w:rPr>
        <w:t> </w:t>
      </w:r>
      <w:r>
        <w:rPr>
          <w:sz w:val="20"/>
          <w:vertAlign w:val="baseline"/>
        </w:rPr>
        <w:t>edition</w:t>
      </w:r>
      <w:r>
        <w:rPr>
          <w:spacing w:val="-3"/>
          <w:sz w:val="20"/>
          <w:vertAlign w:val="baseline"/>
        </w:rPr>
        <w:t> </w:t>
      </w:r>
      <w:r>
        <w:rPr>
          <w:sz w:val="20"/>
          <w:vertAlign w:val="baseline"/>
        </w:rPr>
        <w:t>210. Fertilization reference guide (in French). CRAAQ, Ste-Foy, Qc, Canada.</w:t>
      </w:r>
    </w:p>
    <w:p>
      <w:pPr>
        <w:spacing w:line="276" w:lineRule="auto" w:before="199"/>
        <w:ind w:left="720" w:right="785" w:firstLine="0"/>
        <w:jc w:val="left"/>
        <w:rPr>
          <w:sz w:val="20"/>
        </w:rPr>
      </w:pPr>
      <w:r>
        <w:rPr>
          <w:sz w:val="20"/>
        </w:rPr>
        <w:t>New</w:t>
      </w:r>
      <w:r>
        <w:rPr>
          <w:spacing w:val="-3"/>
          <w:sz w:val="20"/>
        </w:rPr>
        <w:t> </w:t>
      </w:r>
      <w:r>
        <w:rPr>
          <w:sz w:val="20"/>
        </w:rPr>
        <w:t>Brunswick</w:t>
      </w:r>
      <w:r>
        <w:rPr>
          <w:spacing w:val="-3"/>
          <w:sz w:val="20"/>
        </w:rPr>
        <w:t> </w:t>
      </w:r>
      <w:r>
        <w:rPr>
          <w:sz w:val="20"/>
        </w:rPr>
        <w:t>Department</w:t>
      </w:r>
      <w:r>
        <w:rPr>
          <w:spacing w:val="-3"/>
          <w:sz w:val="20"/>
        </w:rPr>
        <w:t> </w:t>
      </w:r>
      <w:r>
        <w:rPr>
          <w:sz w:val="20"/>
        </w:rPr>
        <w:t>of</w:t>
      </w:r>
      <w:r>
        <w:rPr>
          <w:spacing w:val="-3"/>
          <w:sz w:val="20"/>
        </w:rPr>
        <w:t> </w:t>
      </w:r>
      <w:r>
        <w:rPr>
          <w:sz w:val="20"/>
        </w:rPr>
        <w:t>Agriculture.</w:t>
      </w:r>
      <w:r>
        <w:rPr>
          <w:spacing w:val="-4"/>
          <w:sz w:val="20"/>
        </w:rPr>
        <w:t> </w:t>
      </w:r>
      <w:r>
        <w:rPr>
          <w:sz w:val="20"/>
        </w:rPr>
        <w:t>2010.</w:t>
      </w:r>
      <w:r>
        <w:rPr>
          <w:spacing w:val="-3"/>
          <w:sz w:val="20"/>
        </w:rPr>
        <w:t> </w:t>
      </w:r>
      <w:r>
        <w:rPr>
          <w:sz w:val="20"/>
        </w:rPr>
        <w:t>Modifications</w:t>
      </w:r>
      <w:r>
        <w:rPr>
          <w:spacing w:val="-4"/>
          <w:sz w:val="20"/>
        </w:rPr>
        <w:t> </w:t>
      </w:r>
      <w:r>
        <w:rPr>
          <w:sz w:val="20"/>
        </w:rPr>
        <w:t>for</w:t>
      </w:r>
      <w:r>
        <w:rPr>
          <w:spacing w:val="-3"/>
          <w:sz w:val="20"/>
        </w:rPr>
        <w:t> </w:t>
      </w:r>
      <w:r>
        <w:rPr>
          <w:sz w:val="20"/>
        </w:rPr>
        <w:t>the</w:t>
      </w:r>
      <w:r>
        <w:rPr>
          <w:spacing w:val="-3"/>
          <w:sz w:val="20"/>
        </w:rPr>
        <w:t> </w:t>
      </w:r>
      <w:r>
        <w:rPr>
          <w:sz w:val="20"/>
        </w:rPr>
        <w:t>soil</w:t>
      </w:r>
      <w:r>
        <w:rPr>
          <w:spacing w:val="-3"/>
          <w:sz w:val="20"/>
        </w:rPr>
        <w:t> </w:t>
      </w:r>
      <w:r>
        <w:rPr>
          <w:sz w:val="20"/>
        </w:rPr>
        <w:t>test</w:t>
      </w:r>
      <w:r>
        <w:rPr>
          <w:spacing w:val="-4"/>
          <w:sz w:val="20"/>
        </w:rPr>
        <w:t> </w:t>
      </w:r>
      <w:r>
        <w:rPr>
          <w:sz w:val="20"/>
        </w:rPr>
        <w:t>report</w:t>
      </w:r>
      <w:r>
        <w:rPr>
          <w:spacing w:val="-4"/>
          <w:sz w:val="20"/>
        </w:rPr>
        <w:t> </w:t>
      </w:r>
      <w:r>
        <w:rPr>
          <w:sz w:val="20"/>
        </w:rPr>
        <w:t>and</w:t>
      </w:r>
      <w:r>
        <w:rPr>
          <w:spacing w:val="-3"/>
          <w:sz w:val="20"/>
        </w:rPr>
        <w:t> </w:t>
      </w:r>
      <w:r>
        <w:rPr>
          <w:sz w:val="20"/>
        </w:rPr>
        <w:t>new</w:t>
      </w:r>
      <w:r>
        <w:rPr>
          <w:spacing w:val="-3"/>
          <w:sz w:val="20"/>
        </w:rPr>
        <w:t> </w:t>
      </w:r>
      <w:r>
        <w:rPr>
          <w:sz w:val="20"/>
        </w:rPr>
        <w:t>phosphorus fertilization table for potatoes-2011. Available at: </w:t>
      </w:r>
      <w:hyperlink r:id="rId9">
        <w:r>
          <w:rPr>
            <w:color w:val="0000FF"/>
            <w:spacing w:val="-2"/>
            <w:sz w:val="20"/>
            <w:u w:val="single" w:color="0000FF"/>
          </w:rPr>
          <w:t>http://www2.gnb.ca/content/dam/gnb/Departments/10/pdf/Agriculture/PhosphorusPotatoe.pdf</w:t>
        </w:r>
      </w:hyperlink>
    </w:p>
    <w:p>
      <w:pPr>
        <w:pStyle w:val="BodyText"/>
        <w:spacing w:before="5"/>
        <w:rPr>
          <w:sz w:val="15"/>
        </w:rPr>
      </w:pPr>
      <w:r>
        <w:rPr>
          <w:sz w:val="15"/>
        </w:rPr>
        <w:drawing>
          <wp:anchor distT="0" distB="0" distL="0" distR="0" allowOverlap="1" layoutInCell="1" locked="0" behindDoc="1" simplePos="0" relativeHeight="487590912">
            <wp:simplePos x="0" y="0"/>
            <wp:positionH relativeFrom="page">
              <wp:posOffset>1076325</wp:posOffset>
            </wp:positionH>
            <wp:positionV relativeFrom="paragraph">
              <wp:posOffset>128074</wp:posOffset>
            </wp:positionV>
            <wp:extent cx="949368" cy="103936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949368" cy="1039368"/>
                    </a:xfrm>
                    <a:prstGeom prst="rect">
                      <a:avLst/>
                    </a:prstGeom>
                  </pic:spPr>
                </pic:pic>
              </a:graphicData>
            </a:graphic>
          </wp:anchor>
        </w:drawing>
      </w:r>
      <w:r>
        <w:rPr>
          <w:sz w:val="15"/>
        </w:rPr>
        <w:drawing>
          <wp:anchor distT="0" distB="0" distL="0" distR="0" allowOverlap="1" layoutInCell="1" locked="0" behindDoc="1" simplePos="0" relativeHeight="487591424">
            <wp:simplePos x="0" y="0"/>
            <wp:positionH relativeFrom="page">
              <wp:posOffset>2910074</wp:posOffset>
            </wp:positionH>
            <wp:positionV relativeFrom="paragraph">
              <wp:posOffset>173950</wp:posOffset>
            </wp:positionV>
            <wp:extent cx="1184732" cy="88668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1184732" cy="886682"/>
                    </a:xfrm>
                    <a:prstGeom prst="rect">
                      <a:avLst/>
                    </a:prstGeom>
                  </pic:spPr>
                </pic:pic>
              </a:graphicData>
            </a:graphic>
          </wp:anchor>
        </w:drawing>
      </w:r>
      <w:r>
        <w:rPr>
          <w:sz w:val="15"/>
        </w:rPr>
        <w:drawing>
          <wp:anchor distT="0" distB="0" distL="0" distR="0" allowOverlap="1" layoutInCell="1" locked="0" behindDoc="1" simplePos="0" relativeHeight="487591936">
            <wp:simplePos x="0" y="0"/>
            <wp:positionH relativeFrom="page">
              <wp:posOffset>4933315</wp:posOffset>
            </wp:positionH>
            <wp:positionV relativeFrom="paragraph">
              <wp:posOffset>128074</wp:posOffset>
            </wp:positionV>
            <wp:extent cx="1399377" cy="789051"/>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1399377" cy="789051"/>
                    </a:xfrm>
                    <a:prstGeom prst="rect">
                      <a:avLst/>
                    </a:prstGeom>
                  </pic:spPr>
                </pic:pic>
              </a:graphicData>
            </a:graphic>
          </wp:anchor>
        </w:drawing>
      </w:r>
    </w:p>
    <w:p>
      <w:pPr>
        <w:pStyle w:val="BodyText"/>
        <w:spacing w:before="197"/>
        <w:rPr>
          <w:sz w:val="20"/>
        </w:rPr>
      </w:pPr>
    </w:p>
    <w:p>
      <w:pPr>
        <w:spacing w:before="0"/>
        <w:ind w:left="6023" w:right="0" w:firstLine="0"/>
        <w:jc w:val="left"/>
        <w:rPr>
          <w:sz w:val="24"/>
        </w:rPr>
      </w:pPr>
      <w:r>
        <w:rPr>
          <w:b/>
          <w:sz w:val="24"/>
        </w:rPr>
        <w:t>Created:</w:t>
      </w:r>
      <w:r>
        <w:rPr>
          <w:b/>
          <w:spacing w:val="-2"/>
          <w:sz w:val="24"/>
        </w:rPr>
        <w:t> </w:t>
      </w:r>
      <w:r>
        <w:rPr>
          <w:sz w:val="24"/>
        </w:rPr>
        <w:t>October 9, </w:t>
      </w:r>
      <w:r>
        <w:rPr>
          <w:spacing w:val="-4"/>
          <w:sz w:val="24"/>
        </w:rPr>
        <w:t>2018</w:t>
      </w:r>
    </w:p>
    <w:sectPr>
      <w:pgSz w:w="12240" w:h="15840"/>
      <w:pgMar w:header="752" w:footer="0" w:top="9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Math">
    <w:altName w:val="Cambria Math"/>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43456">
              <wp:simplePos x="0" y="0"/>
              <wp:positionH relativeFrom="page">
                <wp:posOffset>901700</wp:posOffset>
              </wp:positionH>
              <wp:positionV relativeFrom="page">
                <wp:posOffset>464883</wp:posOffset>
              </wp:positionV>
              <wp:extent cx="640715" cy="1651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40715" cy="165100"/>
                      </a:xfrm>
                      <a:prstGeom prst="rect">
                        <a:avLst/>
                      </a:prstGeom>
                    </wps:spPr>
                    <wps:txbx>
                      <w:txbxContent>
                        <w:p>
                          <w:pPr>
                            <w:spacing w:line="244" w:lineRule="exact" w:before="0"/>
                            <w:ind w:left="20" w:right="0" w:firstLine="0"/>
                            <w:jc w:val="left"/>
                            <w:rPr>
                              <w:rFonts w:ascii="Calibri"/>
                              <w:sz w:val="22"/>
                            </w:rPr>
                          </w:pPr>
                          <w:r>
                            <w:rPr>
                              <w:rFonts w:ascii="Calibri"/>
                              <w:sz w:val="22"/>
                            </w:rPr>
                            <w:t>[Type</w:t>
                          </w:r>
                          <w:r>
                            <w:rPr>
                              <w:rFonts w:ascii="Calibri"/>
                              <w:spacing w:val="-5"/>
                              <w:sz w:val="22"/>
                            </w:rPr>
                            <w:t> </w:t>
                          </w:r>
                          <w:r>
                            <w:rPr>
                              <w:rFonts w:ascii="Calibri"/>
                              <w:spacing w:val="-2"/>
                              <w:sz w:val="22"/>
                            </w:rPr>
                            <w:t>text]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36.605pt;width:50.45pt;height:13pt;mso-position-horizontal-relative:page;mso-position-vertical-relative:page;z-index:-15873024" type="#_x0000_t202" id="docshape2" filled="false" stroked="false">
              <v:textbox inset="0,0,0,0">
                <w:txbxContent>
                  <w:p>
                    <w:pPr>
                      <w:spacing w:line="244" w:lineRule="exact" w:before="0"/>
                      <w:ind w:left="20" w:right="0" w:firstLine="0"/>
                      <w:jc w:val="left"/>
                      <w:rPr>
                        <w:rFonts w:ascii="Calibri"/>
                        <w:sz w:val="22"/>
                      </w:rPr>
                    </w:pPr>
                    <w:r>
                      <w:rPr>
                        <w:rFonts w:ascii="Calibri"/>
                        <w:sz w:val="22"/>
                      </w:rPr>
                      <w:t>[Type</w:t>
                    </w:r>
                    <w:r>
                      <w:rPr>
                        <w:rFonts w:ascii="Calibri"/>
                        <w:spacing w:val="-5"/>
                        <w:sz w:val="22"/>
                      </w:rPr>
                      <w:t> </w:t>
                    </w:r>
                    <w:r>
                      <w:rPr>
                        <w:rFonts w:ascii="Calibri"/>
                        <w:spacing w:val="-2"/>
                        <w:sz w:val="22"/>
                      </w:rPr>
                      <w:t>text]</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67"/>
      <w:ind w:left="3818" w:right="479"/>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256" w:lineRule="exact"/>
      <w:ind w:left="3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princeedwardisland.ca/en/information/agriculture-and-fisheries/understanding-factors-" TargetMode="External"/><Relationship Id="rId7" Type="http://schemas.openxmlformats.org/officeDocument/2006/relationships/header" Target="header1.xml"/><Relationship Id="rId8" Type="http://schemas.openxmlformats.org/officeDocument/2006/relationships/hyperlink" Target="mailto:kstiles@gov.pe.ca" TargetMode="External"/><Relationship Id="rId9" Type="http://schemas.openxmlformats.org/officeDocument/2006/relationships/hyperlink" Target="http://www2.gnb.ca/content/dam/gnb/Departments/10/pdf/Agriculture/PhosphorusPotatoe.pdf"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kstiles</dc:creator>
  <dcterms:created xsi:type="dcterms:W3CDTF">2024-12-21T16:07:28Z</dcterms:created>
  <dcterms:modified xsi:type="dcterms:W3CDTF">2024-12-21T16:07:28Z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Creator">
    <vt:lpwstr>Microsoft® Office Word 2007</vt:lpwstr>
  </property>
  <property fmtid="{D5CDD505-2E9C-101B-9397-08002B2CF9AE}" pid="4" name="LastSaved">
    <vt:filetime>2024-12-21T00:00:00Z</vt:filetime>
  </property>
  <property fmtid="{D5CDD505-2E9C-101B-9397-08002B2CF9AE}" pid="5" name="Producer">
    <vt:lpwstr>Microsoft® Office Word 2007</vt:lpwstr>
  </property>
</Properties>
</file>