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Calibri" w:cs="Calibri" w:eastAsia="Calibri" w:hAnsi="Calibri"/>
          <w:sz w:val="32"/>
          <w:szCs w:val="32"/>
        </w:rPr>
        <w:t xml:space="preserve">GEG — Project Requirements &amp; Level of Development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Project: Oxagon Utility Building UB-04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Client: NEOM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Stage: Stage 3 design submission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Originator: GEG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1. Drawing format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issued drawings shall be delivered as PDF. Native copies may accompany the issue but do not replace the PDF record.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2. Level of development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Architectural and structural drawings are required at LOD 300 for this submission. MEP layouts are required at LOD 200.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3. Printing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Drawings shall be composed for A1 printing, monochrome, with a readable title block.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4. Required drawing types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Architectural floor plan, structural section, structural foundation plan and MEP plan.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2026-10-26T12:07:22.694Z</dcterms:created>
  <dcterms:modified xsi:type="dcterms:W3CDTF">2026-10-26T12:07:22.695Z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