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Running Transcript</w:t>
      </w:r>
    </w:p>
    <w:p>
      <w:pPr>
        <w:spacing w:after="300"/>
      </w:pPr>
      <w:r>
        <w:rPr>
          <w:i/>
          <w:iCs/>
        </w:rPr>
        <w:t xml:space="preserve">Project: ME570 -- standing instructions and log of Human/Claude turns for this chat.</w:t>
      </w:r>
    </w:p>
    <w:p>
      <w:pPr>
        <w:pStyle w:val="Heading2"/>
      </w:pPr>
      <w:r>
        <w:t xml:space="preserve">Overhead Instructions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700"/>
        <w:gridCol w:w="8800"/>
      </w:tblGrid>
      <w:tr>
        <w:trPr>
          <w:tblHeader/>
        </w:trPr>
        <w:tc>
          <w:tcPr>
            <w:tcW w:type="dxa" w:w="700"/>
            <w:shd w:fill="D9D9D9" w:val="clear"/>
            <w:tcMar>
              <w:top w:type="dxa" w:w="100"/>
              <w:left w:type="dxa" w:w="100"/>
              <w:bottom w:type="dxa" w:w="100"/>
              <w:right w:type="dxa" w:w="100"/>
            </w:tcMar>
          </w:tcPr>
          <w:p>
            <w:r>
              <w:rPr>
                <w:b/>
                <w:bCs/>
              </w:rPr>
              <w:t xml:space="preserve">#</w:t>
            </w:r>
          </w:p>
        </w:tc>
        <w:tc>
          <w:tcPr>
            <w:tcW w:type="dxa" w:w="8800"/>
            <w:shd w:fill="D9D9D9" w:val="clear"/>
            <w:tcMar>
              <w:top w:type="dxa" w:w="100"/>
              <w:left w:type="dxa" w:w="100"/>
              <w:bottom w:type="dxa" w:w="100"/>
              <w:right w:type="dxa" w:w="100"/>
            </w:tcMar>
          </w:tcPr>
          <w:p>
            <w:r>
              <w:rPr>
                <w:b/>
                <w:bCs/>
              </w:rPr>
              <w:t xml:space="preserve">Instruction</w:t>
            </w:r>
          </w:p>
        </w:tc>
      </w:tr>
      <w:tr>
        <w:tc>
          <w:tcPr>
            <w:tcW w:type="dxa" w:w="700"/>
            <w:tcMar>
              <w:top w:type="dxa" w:w="100"/>
              <w:left w:type="dxa" w:w="100"/>
              <w:bottom w:type="dxa" w:w="100"/>
              <w:right w:type="dxa" w:w="100"/>
            </w:tcMar>
          </w:tcPr>
          <w:p>
            <w:r>
              <w:rPr>
                <w:b w:val="false"/>
                <w:bCs w:val="false"/>
              </w:rPr>
              <w:t xml:space="preserve">1</w:t>
            </w:r>
          </w:p>
        </w:tc>
        <w:tc>
          <w:tcPr>
            <w:tcW w:type="dxa" w:w="8800"/>
            <w:tcMar>
              <w:top w:type="dxa" w:w="100"/>
              <w:left w:type="dxa" w:w="100"/>
              <w:bottom w:type="dxa" w:w="100"/>
              <w:right w:type="dxa" w:w="100"/>
            </w:tcMar>
          </w:tcPr>
          <w:p>
            <w:r>
              <w:rPr>
                <w:b w:val="false"/>
                <w:bCs w:val="false"/>
              </w:rPr>
              <w:t xml:space="preserve">Keep a running Word-document transcript for each chat.</w:t>
            </w:r>
          </w:p>
        </w:tc>
      </w:tr>
      <w:tr>
        <w:tc>
          <w:tcPr>
            <w:tcW w:type="dxa" w:w="700"/>
            <w:tcMar>
              <w:top w:type="dxa" w:w="100"/>
              <w:left w:type="dxa" w:w="100"/>
              <w:bottom w:type="dxa" w:w="100"/>
              <w:right w:type="dxa" w:w="100"/>
            </w:tcMar>
          </w:tcPr>
          <w:p>
            <w:r>
              <w:rPr>
                <w:b w:val="false"/>
                <w:bCs w:val="false"/>
              </w:rPr>
              <w:t xml:space="preserve">2</w:t>
            </w:r>
          </w:p>
        </w:tc>
        <w:tc>
          <w:tcPr>
            <w:tcW w:type="dxa" w:w="8800"/>
            <w:tcMar>
              <w:top w:type="dxa" w:w="100"/>
              <w:left w:type="dxa" w:w="100"/>
              <w:bottom w:type="dxa" w:w="100"/>
              <w:right w:type="dxa" w:w="100"/>
            </w:tcMar>
          </w:tcPr>
          <w:p>
            <w:r>
              <w:rPr>
                <w:b w:val="false"/>
                <w:bCs w:val="false"/>
              </w:rPr>
              <w:t xml:space="preserve">Initialize the document to match the style of the attached document “Claude_Running_Transcript_Template.docx”.</w:t>
            </w:r>
          </w:p>
        </w:tc>
      </w:tr>
      <w:tr>
        <w:tc>
          <w:tcPr>
            <w:tcW w:type="dxa" w:w="700"/>
            <w:tcMar>
              <w:top w:type="dxa" w:w="100"/>
              <w:left w:type="dxa" w:w="100"/>
              <w:bottom w:type="dxa" w:w="100"/>
              <w:right w:type="dxa" w:w="100"/>
            </w:tcMar>
          </w:tcPr>
          <w:p>
            <w:r>
              <w:rPr>
                <w:b w:val="false"/>
                <w:bCs w:val="false"/>
              </w:rPr>
              <w:t xml:space="preserve">3</w:t>
            </w:r>
          </w:p>
        </w:tc>
        <w:tc>
          <w:tcPr>
            <w:tcW w:type="dxa" w:w="8800"/>
            <w:tcMar>
              <w:top w:type="dxa" w:w="100"/>
              <w:left w:type="dxa" w:w="100"/>
              <w:bottom w:type="dxa" w:w="100"/>
              <w:right w:type="dxa" w:w="100"/>
            </w:tcMar>
          </w:tcPr>
          <w:p>
            <w:r>
              <w:rPr>
                <w:b w:val="false"/>
                <w:bCs w:val="false"/>
              </w:rPr>
              <w:t xml:space="preserve">After the conversation document is initialized, append only to the document, do not regenerate the file each time. Prompt the user any time a matter of formatting is in question before regenerating the entire document.</w:t>
            </w:r>
          </w:p>
        </w:tc>
      </w:tr>
      <w:tr>
        <w:tc>
          <w:tcPr>
            <w:tcW w:type="dxa" w:w="700"/>
            <w:tcMar>
              <w:top w:type="dxa" w:w="100"/>
              <w:left w:type="dxa" w:w="100"/>
              <w:bottom w:type="dxa" w:w="100"/>
              <w:right w:type="dxa" w:w="100"/>
            </w:tcMar>
          </w:tcPr>
          <w:p>
            <w:r>
              <w:rPr>
                <w:b w:val="false"/>
                <w:bCs w:val="false"/>
              </w:rPr>
              <w:t xml:space="preserve">4</w:t>
            </w:r>
          </w:p>
        </w:tc>
        <w:tc>
          <w:tcPr>
            <w:tcW w:type="dxa" w:w="8800"/>
            <w:tcMar>
              <w:top w:type="dxa" w:w="100"/>
              <w:left w:type="dxa" w:w="100"/>
              <w:bottom w:type="dxa" w:w="100"/>
              <w:right w:type="dxa" w:w="100"/>
            </w:tcMar>
          </w:tcPr>
          <w:p>
            <w:r>
              <w:rPr>
                <w:b w:val="false"/>
                <w:bCs w:val="false"/>
              </w:rPr>
              <w:t xml:space="preserve">Label the user's inputs “Human” and Claude's responses “Claude” in the conversation log below.</w:t>
            </w:r>
          </w:p>
        </w:tc>
      </w:tr>
      <w:tr>
        <w:tc>
          <w:tcPr>
            <w:tcW w:type="dxa" w:w="700"/>
            <w:tcMar>
              <w:top w:type="dxa" w:w="100"/>
              <w:left w:type="dxa" w:w="100"/>
              <w:bottom w:type="dxa" w:w="100"/>
              <w:right w:type="dxa" w:w="100"/>
            </w:tcMar>
          </w:tcPr>
          <w:p>
            <w:r>
              <w:rPr>
                <w:b w:val="false"/>
                <w:bCs w:val="false"/>
              </w:rPr>
              <w:t xml:space="preserve">5</w:t>
            </w:r>
          </w:p>
        </w:tc>
        <w:tc>
          <w:tcPr>
            <w:tcW w:type="dxa" w:w="8800"/>
            <w:tcMar>
              <w:top w:type="dxa" w:w="100"/>
              <w:left w:type="dxa" w:w="100"/>
              <w:bottom w:type="dxa" w:w="100"/>
              <w:right w:type="dxa" w:w="100"/>
            </w:tcMar>
          </w:tcPr>
          <w:p>
            <w:r>
              <w:rPr>
                <w:b w:val="false"/>
                <w:bCs w:val="false"/>
              </w:rPr>
              <w:t xml:space="preserve">Reference any files Claude produces by title name; do not embed their contents in the transcript.</w:t>
            </w:r>
          </w:p>
        </w:tc>
      </w:tr>
      <w:tr>
        <w:tc>
          <w:tcPr>
            <w:tcW w:type="dxa" w:w="700"/>
            <w:tcMar>
              <w:top w:type="dxa" w:w="100"/>
              <w:left w:type="dxa" w:w="100"/>
              <w:bottom w:type="dxa" w:w="100"/>
              <w:right w:type="dxa" w:w="100"/>
            </w:tcMar>
          </w:tcPr>
          <w:p>
            <w:r>
              <w:rPr>
                <w:b w:val="false"/>
                <w:bCs w:val="false"/>
              </w:rPr>
              <w:t xml:space="preserve">6</w:t>
            </w:r>
          </w:p>
        </w:tc>
        <w:tc>
          <w:tcPr>
            <w:tcW w:type="dxa" w:w="8800"/>
            <w:tcMar>
              <w:top w:type="dxa" w:w="100"/>
              <w:left w:type="dxa" w:w="100"/>
              <w:bottom w:type="dxa" w:w="100"/>
              <w:right w:type="dxa" w:w="100"/>
            </w:tcMar>
          </w:tcPr>
          <w:p>
            <w:r>
              <w:rPr>
                <w:b w:val="false"/>
                <w:bCs w:val="false"/>
              </w:rPr>
              <w:t xml:space="preserve">For Python script, append short functions, but larger functions save to their own file and do not append to the discussion. Reference these code files in the transcript by name.</w:t>
            </w:r>
          </w:p>
        </w:tc>
      </w:tr>
      <w:tr>
        <w:tc>
          <w:tcPr>
            <w:tcW w:type="dxa" w:w="700"/>
            <w:tcMar>
              <w:top w:type="dxa" w:w="100"/>
              <w:left w:type="dxa" w:w="100"/>
              <w:bottom w:type="dxa" w:w="100"/>
              <w:right w:type="dxa" w:w="100"/>
            </w:tcMar>
          </w:tcPr>
          <w:p>
            <w:r>
              <w:rPr>
                <w:b w:val="false"/>
                <w:bCs w:val="false"/>
              </w:rPr>
              <w:t xml:space="preserve">7</w:t>
            </w:r>
          </w:p>
        </w:tc>
        <w:tc>
          <w:tcPr>
            <w:tcW w:type="dxa" w:w="8800"/>
            <w:tcMar>
              <w:top w:type="dxa" w:w="100"/>
              <w:left w:type="dxa" w:w="100"/>
              <w:bottom w:type="dxa" w:w="100"/>
              <w:right w:type="dxa" w:w="100"/>
            </w:tcMar>
          </w:tcPr>
          <w:p>
            <w:r>
              <w:rPr>
                <w:b w:val="false"/>
                <w:bCs w:val="false"/>
              </w:rPr>
              <w:t xml:space="preserve">Each chat's transcript is self-contained -- no carryover needed between chats.</w:t>
            </w:r>
          </w:p>
        </w:tc>
      </w:tr>
      <w:tr>
        <w:tc>
          <w:tcPr>
            <w:tcW w:type="dxa" w:w="700"/>
            <w:tcMar>
              <w:top w:type="dxa" w:w="100"/>
              <w:left w:type="dxa" w:w="100"/>
              <w:bottom w:type="dxa" w:w="100"/>
              <w:right w:type="dxa" w:w="100"/>
            </w:tcMar>
          </w:tcPr>
          <w:p>
            <w:r>
              <w:rPr>
                <w:b w:val="false"/>
                <w:bCs w:val="false"/>
              </w:rPr>
              <w:t xml:space="preserve">8</w:t>
            </w:r>
          </w:p>
        </w:tc>
        <w:tc>
          <w:tcPr>
            <w:tcW w:type="dxa" w:w="8800"/>
            <w:tcMar>
              <w:top w:type="dxa" w:w="100"/>
              <w:left w:type="dxa" w:w="100"/>
              <w:bottom w:type="dxa" w:w="100"/>
              <w:right w:type="dxa" w:w="100"/>
            </w:tcMar>
          </w:tcPr>
          <w:p>
            <w:r>
              <w:rPr>
                <w:b w:val="false"/>
                <w:bCs w:val="false"/>
              </w:rPr>
              <w:t xml:space="preserve">Standing/governing instructions such as these are kept in this “Overhead Instructions” table, separate from the Human/Claude conversation log.</w:t>
            </w:r>
          </w:p>
        </w:tc>
      </w:tr>
      <w:tr>
        <w:tc>
          <w:tcPr>
            <w:tcW w:type="dxa" w:w="700"/>
            <w:tcMar>
              <w:top w:type="dxa" w:w="100"/>
              <w:left w:type="dxa" w:w="100"/>
              <w:bottom w:type="dxa" w:w="100"/>
              <w:right w:type="dxa" w:w="100"/>
            </w:tcMar>
          </w:tcPr>
          <w:p>
            <w:r>
              <w:rPr>
                <w:b w:val="false"/>
                <w:bCs w:val="false"/>
              </w:rPr>
              <w:t xml:space="preserve">9</w:t>
            </w:r>
          </w:p>
        </w:tc>
        <w:tc>
          <w:tcPr>
            <w:tcW w:type="dxa" w:w="8800"/>
            <w:tcMar>
              <w:top w:type="dxa" w:w="100"/>
              <w:left w:type="dxa" w:w="100"/>
              <w:bottom w:type="dxa" w:w="100"/>
              <w:right w:type="dxa" w:w="100"/>
            </w:tcMar>
          </w:tcPr>
          <w:p>
            <w:r>
              <w:rPr>
                <w:b w:val="false"/>
                <w:bCs w:val="false"/>
              </w:rPr>
              <w:t xml:space="preserve">Include all dialogue in the conversation log below, including instruction-only Human messages -- these are no longer omitted from the log (they are still additionally filed here when they represent standing instructions).</w:t>
            </w:r>
          </w:p>
        </w:tc>
      </w:tr>
      <w:tr>
        <w:tc>
          <w:tcPr>
            <w:tcW w:type="dxa" w:w="700"/>
            <w:tcMar>
              <w:top w:type="dxa" w:w="100"/>
              <w:left w:type="dxa" w:w="100"/>
              <w:bottom w:type="dxa" w:w="100"/>
              <w:right w:type="dxa" w:w="100"/>
            </w:tcMar>
          </w:tcPr>
          <w:p>
            <w:r>
              <w:rPr>
                <w:b w:val="false"/>
                <w:bCs w:val="false"/>
              </w:rPr>
              <w:t xml:space="preserve">10</w:t>
            </w:r>
          </w:p>
        </w:tc>
        <w:tc>
          <w:tcPr>
            <w:tcW w:type="dxa" w:w="8800"/>
            <w:tcMar>
              <w:top w:type="dxa" w:w="100"/>
              <w:left w:type="dxa" w:w="100"/>
              <w:bottom w:type="dxa" w:w="100"/>
              <w:right w:type="dxa" w:w="100"/>
            </w:tcMar>
          </w:tcPr>
          <w:p>
            <w:r>
              <w:rPr>
                <w:b w:val="false"/>
                <w:bCs w:val="false"/>
              </w:rPr>
              <w:t xml:space="preserve">Show the file when it is initialized at the start of the conversation, but do not show the file each time it is appended to. Show when prompted.</w:t>
            </w:r>
          </w:p>
        </w:tc>
      </w:tr>
      <w:tr>
        <w:tc>
          <w:tcPr>
            <w:tcW w:type="dxa" w:w="700"/>
            <w:tcMar>
              <w:top w:type="dxa" w:w="100"/>
              <w:left w:type="dxa" w:w="100"/>
              <w:bottom w:type="dxa" w:w="100"/>
              <w:right w:type="dxa" w:w="100"/>
            </w:tcMar>
          </w:tcPr>
          <w:p>
            <w:r>
              <w:rPr>
                <w:b w:val="false"/>
                <w:bCs w:val="false"/>
              </w:rPr>
              <w:t xml:space="preserve">11</w:t>
            </w:r>
          </w:p>
        </w:tc>
        <w:tc>
          <w:tcPr>
            <w:tcW w:type="dxa" w:w="8800"/>
            <w:tcMar>
              <w:top w:type="dxa" w:w="100"/>
              <w:left w:type="dxa" w:w="100"/>
              <w:bottom w:type="dxa" w:w="100"/>
              <w:right w:type="dxa" w:w="100"/>
            </w:tcMar>
          </w:tcPr>
          <w:p>
            <w:r>
              <w:rPr>
                <w:b w:val="false"/>
                <w:bCs w:val="false"/>
              </w:rPr>
              <w:t xml:space="preserve">Do not fabricate facts.</w:t>
            </w:r>
          </w:p>
        </w:tc>
      </w:tr>
      <w:tr>
        <w:tc>
          <w:tcPr>
            <w:tcW w:type="dxa" w:w="700"/>
            <w:tcMar>
              <w:top w:type="dxa" w:w="100"/>
              <w:left w:type="dxa" w:w="100"/>
              <w:bottom w:type="dxa" w:w="100"/>
              <w:right w:type="dxa" w:w="100"/>
            </w:tcMar>
          </w:tcPr>
          <w:p>
            <w:r>
              <w:rPr>
                <w:b w:val="false"/>
                <w:bCs w:val="false"/>
              </w:rPr>
              <w:t xml:space="preserve">12</w:t>
            </w:r>
          </w:p>
        </w:tc>
        <w:tc>
          <w:tcPr>
            <w:tcW w:type="dxa" w:w="8800"/>
            <w:tcMar>
              <w:top w:type="dxa" w:w="100"/>
              <w:left w:type="dxa" w:w="100"/>
              <w:bottom w:type="dxa" w:w="100"/>
              <w:right w:type="dxa" w:w="100"/>
            </w:tcMar>
          </w:tcPr>
          <w:p>
            <w:r>
              <w:rPr>
                <w:b w:val="false"/>
                <w:bCs w:val="false"/>
              </w:rPr>
              <w:t xml:space="preserve">Do not only agree with the user. Debate and challenge the user's understanding rather than simply agreeing.</w:t>
            </w:r>
          </w:p>
        </w:tc>
      </w:tr>
      <w:tr>
        <w:tc>
          <w:tcPr>
            <w:tcW w:type="dxa" w:w="700"/>
            <w:tcMar>
              <w:top w:type="dxa" w:w="100"/>
              <w:left w:type="dxa" w:w="100"/>
              <w:bottom w:type="dxa" w:w="100"/>
              <w:right w:type="dxa" w:w="100"/>
            </w:tcMar>
          </w:tcPr>
          <w:p>
            <w:r>
              <w:rPr>
                <w:b w:val="false"/>
                <w:bCs w:val="false"/>
              </w:rPr>
              <w:t xml:space="preserve">13</w:t>
            </w:r>
          </w:p>
        </w:tc>
        <w:tc>
          <w:tcPr>
            <w:tcW w:type="dxa" w:w="8800"/>
            <w:tcMar>
              <w:top w:type="dxa" w:w="100"/>
              <w:left w:type="dxa" w:w="100"/>
              <w:bottom w:type="dxa" w:w="100"/>
              <w:right w:type="dxa" w:w="100"/>
            </w:tcMar>
          </w:tcPr>
          <w:p>
            <w:r>
              <w:rPr>
                <w:b w:val="false"/>
                <w:bCs w:val="false"/>
              </w:rPr>
              <w:t xml:space="preserve">Provide references to relevant papers, including arXiv links where applicable.</w:t>
            </w:r>
          </w:p>
        </w:tc>
      </w:tr>
    </w:tbl>
    <w:p>
      <w:pPr>
        <w:spacing w:after="200" w:before="200"/>
      </w:pPr>
    </w:p>
    <w:p>
      <w:pPr>
        <w:pStyle w:val="Heading2"/>
      </w:pPr>
      <w:r>
        <w:t xml:space="preserve">Conversation Log</w:t>
      </w:r>
    </w:p>
    <w:p>
      <w:pPr>
        <w:spacing w:after="100" w:before="200"/>
      </w:pPr>
      <w:r>
        <w:rPr>
          <w:b/>
          <w:bCs/>
        </w:rPr>
        <w:t xml:space="preserve">Human</w:t>
      </w:r>
    </w:p>
    <w:p>
      <w:pPr>
        <w:spacing w:after="120"/>
      </w:pPr>
      <w:r>
        <w:rPr>
          <w:i w:val="false"/>
          <w:iCs w:val="false"/>
        </w:rPr>
        <w:t xml:space="preserve">[Attached file: Claude_Running_Transcript_Template.docx]</w:t>
      </w:r>
    </w:p>
    <w:p>
      <w:pPr>
        <w:spacing w:after="120"/>
      </w:pPr>
      <w:r>
        <w:rPr>
          <w:i w:val="false"/>
          <w:iCs w:val="false"/>
        </w:rPr>
        <w:t xml:space="preserve">Keep a running Word-document transcript for each chat.</w:t>
      </w:r>
    </w:p>
    <w:p>
      <w:pPr>
        <w:spacing w:after="120"/>
      </w:pPr>
      <w:r>
        <w:rPr>
          <w:i w:val="false"/>
          <w:iCs w:val="false"/>
        </w:rPr>
        <w:t xml:space="preserve">Initialize the document to match the style of the attached document "Claude_Running_Transcript_Template.docx.</w:t>
      </w:r>
    </w:p>
    <w:p>
      <w:pPr>
        <w:spacing w:after="120"/>
      </w:pPr>
      <w:r>
        <w:rPr>
          <w:i w:val="false"/>
          <w:iCs w:val="false"/>
        </w:rPr>
        <w:t xml:space="preserve">After the conversation document is initialized, append only to the document, do not regenerate the file each time. Prompt the user any time a matter of formatting is in question before regenerating the entire document.</w:t>
      </w:r>
    </w:p>
    <w:p>
      <w:pPr>
        <w:spacing w:after="120"/>
      </w:pPr>
      <w:r>
        <w:rPr>
          <w:i w:val="false"/>
          <w:iCs w:val="false"/>
        </w:rPr>
        <w:t xml:space="preserve">Label the user's inputs "Human" and Claude's responses "Claude" in the conversation log below.</w:t>
      </w:r>
    </w:p>
    <w:p>
      <w:pPr>
        <w:spacing w:after="120"/>
      </w:pPr>
      <w:r>
        <w:rPr>
          <w:i w:val="false"/>
          <w:iCs w:val="false"/>
        </w:rPr>
        <w:t xml:space="preserve">Reference any files Claude produces by title name; do not embed their contents in the transcript.</w:t>
      </w:r>
    </w:p>
    <w:p>
      <w:pPr>
        <w:spacing w:after="120"/>
      </w:pPr>
      <w:r>
        <w:rPr>
          <w:i w:val="false"/>
          <w:iCs w:val="false"/>
        </w:rPr>
        <w:t xml:space="preserve">For Python script, append short functions, but larger functions save to their own file and do not append to the discussion. Reference these code files in the transcript by name.</w:t>
      </w:r>
    </w:p>
    <w:p>
      <w:pPr>
        <w:spacing w:after="120"/>
      </w:pPr>
      <w:r>
        <w:rPr>
          <w:i w:val="false"/>
          <w:iCs w:val="false"/>
        </w:rPr>
        <w:t xml:space="preserve">Each chat's transcript is self-contained -- no carryover needed between chats.</w:t>
      </w:r>
    </w:p>
    <w:p>
      <w:pPr>
        <w:spacing w:after="120"/>
      </w:pPr>
      <w:r>
        <w:rPr>
          <w:i w:val="false"/>
          <w:iCs w:val="false"/>
        </w:rPr>
        <w:t xml:space="preserve">Standing/governing instructions such as these are kept in this "Overhead Instructions" table, separate from the Human/Claude conversation log.</w:t>
      </w:r>
    </w:p>
    <w:p>
      <w:pPr>
        <w:spacing w:after="120"/>
      </w:pPr>
      <w:r>
        <w:rPr>
          <w:i w:val="false"/>
          <w:iCs w:val="false"/>
        </w:rPr>
        <w:t xml:space="preserve">Include all dialogue in the conversation log below, including instruction-only Human messages -- these are no longer omitted from the log (they are still additionally filed here when they represent standing instructions).</w:t>
      </w:r>
    </w:p>
    <w:p>
      <w:pPr>
        <w:spacing w:after="120"/>
      </w:pPr>
      <w:r>
        <w:rPr>
          <w:i w:val="false"/>
          <w:iCs w:val="false"/>
        </w:rPr>
        <w:t xml:space="preserve">Show the file when it is initialized at the start of the conversation, but do not show the file each time it is appended to. Show when prompted.</w:t>
      </w:r>
    </w:p>
    <w:p>
      <w:pPr>
        <w:spacing w:after="120"/>
      </w:pPr>
      <w:r>
        <w:rPr>
          <w:i w:val="false"/>
          <w:iCs w:val="false"/>
        </w:rPr>
        <w:t xml:space="preserve">Do not fabricate facts.</w:t>
      </w:r>
    </w:p>
    <w:p>
      <w:pPr>
        <w:spacing w:after="120"/>
      </w:pPr>
      <w:r>
        <w:rPr>
          <w:i w:val="false"/>
          <w:iCs w:val="false"/>
        </w:rPr>
        <w:t xml:space="preserve">Do not only agree with me. Debate me. Challenge my understanding.</w:t>
      </w:r>
    </w:p>
    <w:p>
      <w:pPr>
        <w:spacing w:after="120"/>
      </w:pPr>
      <w:r>
        <w:rPr>
          <w:i w:val="false"/>
          <w:iCs w:val="false"/>
        </w:rPr>
        <w:t xml:space="preserve">Provide references to papers (arxiv.org if applicable).</w:t>
      </w:r>
    </w:p>
    <w:p>
      <w:pPr>
        <w:spacing w:after="120"/>
      </w:pPr>
      <w:r>
        <w:rPr>
          <w:i w:val="false"/>
          <w:iCs w:val="false"/>
        </w:rPr>
        <w:t xml:space="preserve">Now we are going to assess the quality of responses to questions. As always, keep a transcript of the conversation.</w:t>
      </w:r>
    </w:p>
    <w:p>
      <w:pPr>
        <w:spacing w:after="120"/>
      </w:pPr>
      <w:r>
        <w:rPr>
          <w:i w:val="false"/>
          <w:iCs w:val="false"/>
        </w:rPr>
        <w:t xml:space="preserve">Question:</w:t>
      </w:r>
    </w:p>
    <w:p>
      <w:pPr>
        <w:spacing w:after="120"/>
      </w:pPr>
      <w:r>
        <w:rPr>
          <w:i w:val="false"/>
          <w:iCs w:val="false"/>
        </w:rPr>
        <w:t xml:space="preserve">Explain how the angle segment_angle can be computed. To get full marks, include a figure and formulae illustrating your reasoning. You may need to review linear algebra and examine the content of the function segment_angle ( ) to answer this question.</w:t>
      </w:r>
    </w:p>
    <w:p>
      <w:pPr>
        <w:spacing w:after="120"/>
      </w:pPr>
      <w:r>
        <w:rPr>
          <w:i w:val="false"/>
          <w:iCs w:val="false"/>
        </w:rPr>
        <w:t xml:space="preserve">This is a common problem, and you can find many different solutions and tutorials online; not all of them are explained well. The most elegant solution uses parametric curves. Please try to think of the solution independently before searching for help.</w:t>
      </w:r>
    </w:p>
    <w:p>
      <w:pPr>
        <w:spacing w:after="120"/>
      </w:pPr>
      <w:r>
        <w:rPr>
          <w:i w:val="false"/>
          <w:iCs w:val="false"/>
        </w:rPr>
        <w:t xml:space="preserve">Response:</w:t>
      </w:r>
    </w:p>
    <w:p>
      <w:pPr>
        <w:spacing w:after="120"/>
      </w:pPr>
      <w:r>
        <w:rPr>
          <w:i w:val="false"/>
          <w:iCs w:val="false"/>
        </w:rPr>
        <w:t xml:space="preserve">First, segment angle computes the two vectors by subtracting vertex1 and vertex2 from vertex0 respectively. See Figure 1.</w:t>
      </w:r>
    </w:p>
    <w:p>
      <w:pPr>
        <w:spacing w:after="120"/>
      </w:pPr>
      <w:r>
        <w:rPr>
          <w:i w:val="false"/>
          <w:iCs w:val="false"/>
        </w:rPr>
        <w:t xml:space="preserve">\begin{figure}[H]</w:t>
      </w:r>
    </w:p>
    <w:p>
      <w:pPr>
        <w:spacing w:after="120"/>
      </w:pPr>
      <w:r>
        <w:rPr>
          <w:i w:val="false"/>
          <w:iCs w:val="false"/>
        </w:rPr>
        <w:t xml:space="preserve">    \centering</w:t>
      </w:r>
    </w:p>
    <w:p>
      <w:pPr>
        <w:spacing w:after="120"/>
      </w:pPr>
      <w:r>
        <w:rPr>
          <w:i w:val="false"/>
          <w:iCs w:val="false"/>
        </w:rPr>
        <w:t xml:space="preserve">    \includegraphics[width=0.5\linewidth]{Slide2.JPG}</w:t>
      </w:r>
    </w:p>
    <w:p>
      <w:pPr>
        <w:spacing w:after="120"/>
      </w:pPr>
      <w:r>
        <w:rPr>
          <w:i w:val="false"/>
          <w:iCs w:val="false"/>
        </w:rPr>
        <w:t xml:space="preserve">    \caption{Segments angle compute the two vectors by subtracting the points from the origin.}</w:t>
      </w:r>
    </w:p>
    <w:p>
      <w:pPr>
        <w:spacing w:after="120"/>
      </w:pPr>
      <w:r>
        <w:rPr>
          <w:i w:val="false"/>
          <w:iCs w:val="false"/>
        </w:rPr>
        <w:t xml:space="preserve">    \label{fig:placeholder}</w:t>
      </w:r>
    </w:p>
    <w:p>
      <w:pPr>
        <w:spacing w:after="120"/>
      </w:pPr>
      <w:r>
        <w:rPr>
          <w:i w:val="false"/>
          <w:iCs w:val="false"/>
        </w:rPr>
        <w:t xml:space="preserve">\end{figure}</w:t>
      </w:r>
    </w:p>
    <w:p>
      <w:pPr>
        <w:spacing w:after="120"/>
      </w:pPr>
      <w:r>
        <w:rPr>
          <w:i w:val="false"/>
          <w:iCs w:val="false"/>
        </w:rPr>
        <w:t xml:space="preserve">Next, the two vectors are normalized to length $1$. See Figure 2.</w:t>
      </w:r>
    </w:p>
    <w:p>
      <w:pPr>
        <w:spacing w:after="120"/>
      </w:pPr>
      <w:r>
        <w:rPr>
          <w:i w:val="false"/>
          <w:iCs w:val="false"/>
        </w:rPr>
        <w:t xml:space="preserve">\begin{figure}[H]</w:t>
      </w:r>
    </w:p>
    <w:p>
      <w:pPr>
        <w:spacing w:after="120"/>
      </w:pPr>
      <w:r>
        <w:rPr>
          <w:i w:val="false"/>
          <w:iCs w:val="false"/>
        </w:rPr>
        <w:t xml:space="preserve">    \centering</w:t>
      </w:r>
    </w:p>
    <w:p>
      <w:pPr>
        <w:spacing w:after="120"/>
      </w:pPr>
      <w:r>
        <w:rPr>
          <w:i w:val="false"/>
          <w:iCs w:val="false"/>
        </w:rPr>
        <w:t xml:space="preserve">    \includegraphics[width=0.5\linewidth]{Slide3.JPG}</w:t>
      </w:r>
    </w:p>
    <w:p>
      <w:pPr>
        <w:spacing w:after="120"/>
      </w:pPr>
      <w:r>
        <w:rPr>
          <w:i w:val="false"/>
          <w:iCs w:val="false"/>
        </w:rPr>
        <w:t xml:space="preserve">    \caption{Vectors are normalized to length $1$}</w:t>
      </w:r>
    </w:p>
    <w:p>
      <w:pPr>
        <w:spacing w:after="120"/>
      </w:pPr>
      <w:r>
        <w:rPr>
          <w:i w:val="false"/>
          <w:iCs w:val="false"/>
        </w:rPr>
        <w:t xml:space="preserve">    \label{fig:placeholder}</w:t>
      </w:r>
    </w:p>
    <w:p>
      <w:pPr>
        <w:spacing w:after="120"/>
      </w:pPr>
      <w:r>
        <w:rPr>
          <w:i w:val="false"/>
          <w:iCs w:val="false"/>
        </w:rPr>
        <w:t xml:space="preserve">\end{figure}</w:t>
      </w:r>
    </w:p>
    <w:p>
      <w:pPr>
        <w:spacing w:after="120"/>
      </w:pPr>
      <w:r>
        <w:rPr>
          <w:i w:val="false"/>
          <w:iCs w:val="false"/>
        </w:rPr>
        <w:t xml:space="preserve">The vectors are flattened into column vectors to facilitate taking the inner product for the vectors (which gives the angle value) and the cross product (which gives the sign of the angle). See Figure 3.</w:t>
      </w:r>
    </w:p>
    <w:p>
      <w:pPr>
        <w:spacing w:after="120"/>
      </w:pPr>
      <w:r>
        <w:rPr>
          <w:i w:val="false"/>
          <w:iCs w:val="false"/>
        </w:rPr>
        <w:t xml:space="preserve">$$\theta = &lt;V_1,V_2&gt;$$</w:t>
      </w:r>
    </w:p>
    <w:p>
      <w:pPr>
        <w:spacing w:after="120"/>
      </w:pPr>
      <w:r>
        <w:rPr>
          <w:i w:val="false"/>
          <w:iCs w:val="false"/>
        </w:rPr>
        <w:t xml:space="preserve">$$angleSign = V_1 \times V_2$$</w:t>
      </w:r>
    </w:p>
    <w:p>
      <w:pPr>
        <w:spacing w:after="120"/>
      </w:pPr>
      <w:r>
        <w:rPr>
          <w:i w:val="false"/>
          <w:iCs w:val="false"/>
        </w:rPr>
        <w:t xml:space="preserve">\begin{figure}[H]</w:t>
      </w:r>
    </w:p>
    <w:p>
      <w:pPr>
        <w:spacing w:after="120"/>
      </w:pPr>
      <w:r>
        <w:rPr>
          <w:i w:val="false"/>
          <w:iCs w:val="false"/>
        </w:rPr>
        <w:t xml:space="preserve">    \centering</w:t>
      </w:r>
    </w:p>
    <w:p>
      <w:pPr>
        <w:spacing w:after="120"/>
      </w:pPr>
      <w:r>
        <w:rPr>
          <w:i w:val="false"/>
          <w:iCs w:val="false"/>
        </w:rPr>
        <w:t xml:space="preserve">    \includegraphics[width=0.5\linewidth]{Slide4.JPG}</w:t>
      </w:r>
    </w:p>
    <w:p>
      <w:pPr>
        <w:spacing w:after="120"/>
      </w:pPr>
      <w:r>
        <w:rPr>
          <w:i w:val="false"/>
          <w:iCs w:val="false"/>
        </w:rPr>
        <w:t xml:space="preserve">    \caption{The dot product finds the angle magnitude, and the cross product finds the sign of the angle.}</w:t>
      </w:r>
    </w:p>
    <w:p>
      <w:pPr>
        <w:spacing w:after="120"/>
      </w:pPr>
      <w:r>
        <w:rPr>
          <w:i w:val="false"/>
          <w:iCs w:val="false"/>
        </w:rPr>
        <w:t xml:space="preserve">    \label{fig:placeholder}</w:t>
      </w:r>
    </w:p>
    <w:p>
      <w:pPr>
        <w:spacing w:after="120"/>
      </w:pPr>
      <w:r>
        <w:rPr>
          <w:i w:val="false"/>
          <w:iCs w:val="false"/>
        </w:rPr>
        <w:t xml:space="preserve">\end{figure}</w:t>
      </w:r>
    </w:p>
    <w:p>
      <w:pPr>
        <w:spacing w:after="120"/>
      </w:pPr>
      <w:r>
        <w:rPr>
          <w:i w:val="false"/>
          <w:iCs w:val="false"/>
        </w:rPr>
        <w:t xml:space="preserve">The information is then passed into the variable 'angle' and then returned.</w:t>
      </w:r>
    </w:p>
    <w:p>
      <w:pPr>
        <w:spacing w:after="100" w:before="200"/>
      </w:pPr>
      <w:r>
        <w:rPr>
          <w:b/>
          <w:bCs/>
        </w:rPr>
        <w:t xml:space="preserve">Claude</w:t>
      </w:r>
    </w:p>
    <w:p>
      <w:pPr>
        <w:spacing w:after="120"/>
      </w:pPr>
      <w:r>
        <w:rPr>
          <w:i w:val="false"/>
          <w:iCs w:val="false"/>
        </w:rPr>
        <w:t xml:space="preserve">The dot-and-cross instinct is right, but as written this would not get full marks, and it does not really engage with the "parametric curves" hint the question gives. A few problems, then the fix.</w:t>
      </w:r>
    </w:p>
    <w:p>
      <w:pPr>
        <w:spacing w:after="120"/>
      </w:pPr>
      <w:r>
        <w:rPr>
          <w:i w:val="false"/>
          <w:iCs w:val="false"/>
        </w:rPr>
        <w:t xml:space="preserve"> </w:t>
      </w:r>
    </w:p>
    <w:p>
      <w:pPr>
        <w:spacing w:after="120"/>
      </w:pPr>
      <w:r>
        <w:rPr>
          <w:i w:val="false"/>
          <w:iCs w:val="false"/>
        </w:rPr>
        <w:t xml:space="preserve">First, a genuine error: writing theta = &lt;V1, V2&gt; is wrong, not just imprecise. Once V1 and V2 are unit vectors, their inner product is cos(theta), a number confined to [-1, 1], not theta itself, which can run up to pi (or all the way to 2*pi if the sign is kept separately). If a grader is checking notational correctness, this line loses points outright.</w:t>
      </w:r>
    </w:p>
    <w:p>
      <w:pPr>
        <w:spacing w:after="120"/>
      </w:pPr>
      <w:r>
        <w:rPr>
          <w:i w:val="false"/>
          <w:iCs w:val="false"/>
        </w:rPr>
        <w:t xml:space="preserve"> </w:t>
      </w:r>
    </w:p>
    <w:p>
      <w:pPr>
        <w:spacing w:after="120"/>
      </w:pPr>
      <w:r>
        <w:rPr>
          <w:i w:val="false"/>
          <w:iCs w:val="false"/>
        </w:rPr>
        <w:t xml:space="preserve">Second, and more important, the response never closes the loop. It computes cos(theta) (the dot product) and something proportional to sin(theta) (the cross product / "angleSign"), then says the values are "passed into the variable angle" without saying how. That missing step is the actual content of the question, and it is exactly where the parametric-curve idea belongs.</w:t>
      </w:r>
    </w:p>
    <w:p>
      <w:pPr>
        <w:spacing w:after="120"/>
      </w:pPr>
      <w:r>
        <w:rPr>
          <w:i w:val="false"/>
          <w:iCs w:val="false"/>
        </w:rPr>
        <w:t xml:space="preserve"> </w:t>
      </w:r>
    </w:p>
    <w:p>
      <w:pPr>
        <w:spacing w:after="120"/>
      </w:pPr>
      <w:r>
        <w:rPr>
          <w:i w:val="false"/>
          <w:iCs w:val="false"/>
        </w:rPr>
        <w:t xml:space="preserve">Here is the idea the question is fishing for. A unit vector is a point on the unit circle, and the unit circle is the parametric curve gamma(t) = (cos t, sin t). Normalizing V1 and V2 does not just rescale them, it identifies each one with a parameter value on that curve: V1 = gamma(t1), V2 = gamma(t2), where t1 and t2 are the angles each vector makes with some reference axis. The angle you actually want, theta, is just the difference of parameters t2 - t1: you are not computing "the angle" from scratch, you are locating one point relative to the other along the curve.</w:t>
      </w:r>
    </w:p>
    <w:p>
      <w:pPr>
        <w:spacing w:after="120"/>
      </w:pPr>
      <w:r>
        <w:rPr>
          <w:i w:val="false"/>
          <w:iCs w:val="false"/>
        </w:rPr>
        <w:t xml:space="preserve"> </w:t>
      </w:r>
    </w:p>
    <w:p>
      <w:pPr>
        <w:spacing w:after="120"/>
      </w:pPr>
      <w:r>
        <w:rPr>
          <w:i w:val="false"/>
          <w:iCs w:val="false"/>
        </w:rPr>
        <w:t xml:space="preserve">The angle-subtraction identities hand you both trig components of that difference for free:</w:t>
      </w:r>
    </w:p>
    <w:p>
      <w:pPr>
        <w:spacing w:after="120"/>
      </w:pPr>
      <w:r>
        <w:rPr>
          <w:i w:val="false"/>
          <w:iCs w:val="false"/>
        </w:rPr>
        <w:t xml:space="preserve">cos(t2 - t1) = cos(t2)cos(t1) + sin(t2)sin(t1) = V1 . V2</w:t>
      </w:r>
    </w:p>
    <w:p>
      <w:pPr>
        <w:spacing w:after="120"/>
      </w:pPr>
      <w:r>
        <w:rPr>
          <w:i w:val="false"/>
          <w:iCs w:val="false"/>
        </w:rPr>
        <w:t xml:space="preserve">sin(t2 - t1) = sin(t2)cos(t1) - cos(t2)sin(t1) = V1 x V2   (the z-component of the 2-D cross product, sometimes called the "perp dot product")</w:t>
      </w:r>
    </w:p>
    <w:p>
      <w:pPr>
        <w:spacing w:after="120"/>
      </w:pPr>
      <w:r>
        <w:rPr>
          <w:i w:val="false"/>
          <w:iCs w:val="false"/>
        </w:rPr>
        <w:t xml:space="preserve"> </w:t>
      </w:r>
    </w:p>
    <w:p>
      <w:pPr>
        <w:spacing w:after="120"/>
      </w:pPr>
      <w:r>
        <w:rPr>
          <w:i w:val="false"/>
          <w:iCs w:val="false"/>
        </w:rPr>
        <w:t xml:space="preserve">So theta = t2 - t1 = atan2(V1 x V2, V1 . V2). The diagram above shows this geometrically: V1 and V2 as points on the unit circle, and theta as the signed arc between their parameters.</w:t>
      </w:r>
    </w:p>
    <w:p>
      <w:pPr>
        <w:spacing w:after="120"/>
      </w:pPr>
      <w:r>
        <w:rPr>
          <w:i w:val="false"/>
          <w:iCs w:val="false"/>
        </w:rPr>
        <w:t xml:space="preserve"> </w:t>
      </w:r>
    </w:p>
    <w:p>
      <w:pPr>
        <w:spacing w:after="120"/>
      </w:pPr>
      <w:r>
        <w:rPr>
          <w:i w:val="false"/>
          <w:iCs w:val="false"/>
        </w:rPr>
        <w:t xml:space="preserve">That atan2 line is also why the cross product needs to be there at all, which the response never explains: acos(V1 . V2) alone only returns a value in [0, pi], so it cannot tell you whether V2 is clockwise or counterclockwise from V1, and it is numerically ill-conditioned near theta = 0 and theta = pi, where the derivative of cosine goes to zero and small errors in the dot product turn into large errors in the recovered angle. The cross product supplies the missing sign, and combined with the dot product through atan2 it gives one well-conditioned expression for the full signed angle on (-pi, pi]. Bolting the sign of the cross product onto acos(dot) as an afterthought works arithmetically, but it is a less robust and less "elegant" construction than the atan2 form, and it is the one place I would push back hardest on the response.</w:t>
      </w:r>
    </w:p>
    <w:p>
      <w:pPr>
        <w:spacing w:after="120"/>
      </w:pPr>
      <w:r>
        <w:rPr>
          <w:i w:val="false"/>
          <w:iCs w:val="false"/>
        </w:rPr>
        <w:t xml:space="preserve"> </w:t>
      </w:r>
    </w:p>
    <w:p>
      <w:pPr>
        <w:spacing w:after="120"/>
      </w:pPr>
      <w:r>
        <w:rPr>
          <w:i w:val="false"/>
          <w:iCs w:val="false"/>
        </w:rPr>
        <w:t xml:space="preserve">One thing I cannot verify: the response leans on three figures (Slide2.JPG, Slide3.JPG, Slide4.JPG) that are not included in what was shared with me, so I cannot confirm they show what the captions claim. It is worth checking whether they actually depict the unit-circle / parametric idea above, or just "here are two vectors" and "here they are normalized" -- as described, they illustrate the setup but not the reasoning step that earns full marks.</w:t>
      </w:r>
    </w:p>
    <w:p>
      <w:pPr>
        <w:spacing w:after="120"/>
      </w:pPr>
      <w:r>
        <w:rPr>
          <w:i w:val="false"/>
          <w:iCs w:val="false"/>
        </w:rPr>
        <w:t xml:space="preserve"> </w:t>
      </w:r>
    </w:p>
    <w:p>
      <w:pPr>
        <w:spacing w:after="120"/>
      </w:pPr>
      <w:r>
        <w:rPr>
          <w:i w:val="false"/>
          <w:iCs w:val="false"/>
        </w:rPr>
        <w:t xml:space="preserve">References: this is foundational numerical linear algebra rather than a research contribution, so there is not a natural arXiv paper for it, and I would rather say that than manufacture a citation. Two real, non-arXiv references that are directly on point:</w:t>
      </w:r>
    </w:p>
    <w:p>
      <w:pPr>
        <w:spacing w:after="120"/>
      </w:pPr>
      <w:r>
        <w:rPr>
          <w:i w:val="false"/>
          <w:iCs w:val="false"/>
        </w:rPr>
        <w:t xml:space="preserve">- W. Kahan, "Angles Between Vectors and Planes" (Math H90 course notes, UC Berkeley EECS, 2003). Derives exactly this atan2(cross, dot) construction and its numerical advantage over acos, and goes further with an even more robust formula for vectors of very different magnitudes. https://people.eecs.berkeley.edu/~wkahan/MathH90/Angles.pdf</w:t>
      </w:r>
    </w:p>
    <w:p>
      <w:pPr>
        <w:spacing w:after="120"/>
      </w:pPr>
      <w:r>
        <w:rPr>
          <w:i w:val="false"/>
          <w:iCs w:val="false"/>
        </w:rPr>
        <w:t xml:space="preserve">- Choset, Lynch, Hutchinson, Kantor, Burgard, Kavraki, and Thrun, "Principles of Robot Motion: Theory, Algorithms, and Implementation" (MIT Press, 2005). This is ME570's own textbook, and its geometric-primitives material is the natural source for segment_angle's role in polygon/obstacle processing.</w:t>
      </w:r>
    </w:p>
    <w:p>
      <w:pPr>
        <w:spacing w:after="120"/>
      </w:pPr>
      <w:r>
        <w:rPr>
          <w:i w:val="false"/>
          <w:iCs w:val="false"/>
        </w:rPr>
        <w:t xml:space="preserve"> </w:t>
      </w:r>
    </w:p>
    <w:p>
      <w:pPr>
        <w:spacing w:after="120"/>
      </w:pPr>
      <w:r>
        <w:rPr>
          <w:i w:val="false"/>
          <w:iCs w:val="false"/>
        </w:rPr>
        <w:t xml:space="preserve">If it would help, I can look at the actual segment_angle.m source to check whether it uses atan2, or acos plus a separate sign correction, so the critique is checked against the real implementation rather than only the write-up.</w:t>
      </w:r>
    </w:p>
    <w:p>
      <w:pPr>
        <w:spacing w:after="100" w:before="200"/>
      </w:pPr>
      <w:r>
        <w:rPr>
          <w:b/>
          <w:bCs/>
        </w:rPr>
        <w:t xml:space="preserve">Human</w:t>
      </w:r>
    </w:p>
    <w:p>
      <w:pPr>
        <w:spacing w:after="120"/>
      </w:pPr>
      <w:r>
        <w:rPr>
          <w:i w:val="false"/>
          <w:iCs w:val="false"/>
        </w:rPr>
        <w:t xml:space="preserve">The next response I want you to assess for correctness is the following:</w:t>
      </w:r>
    </w:p>
    <w:p>
      <w:pPr>
        <w:spacing w:after="120"/>
      </w:pPr>
      <w:r>
        <w:rPr>
          <w:i w:val="false"/>
          <w:iCs w:val="false"/>
        </w:rPr>
        <w:t xml:space="preserve">Question: Consider two segments vA,1, vA,2 and vB,1, vB,2 on the plane R2.</w:t>
      </w:r>
    </w:p>
    <w:p>
      <w:pPr>
        <w:spacing w:after="120"/>
      </w:pPr>
      <w:r>
        <w:rPr>
          <w:i w:val="false"/>
          <w:iCs w:val="false"/>
        </w:rPr>
        <w:t xml:space="preserve">Explain how to decide whether they intersect or not, and, if yes, how the intersection point is</w:t>
      </w:r>
    </w:p>
    <w:p>
      <w:pPr>
        <w:spacing w:after="120"/>
      </w:pPr>
      <w:r>
        <w:rPr>
          <w:i w:val="false"/>
          <w:iCs w:val="false"/>
        </w:rPr>
        <w:t xml:space="preserve">computed. You may express your reasoning in pseudocode. To get full marks, include figures</w:t>
      </w:r>
    </w:p>
    <w:p>
      <w:pPr>
        <w:spacing w:after="120"/>
      </w:pPr>
      <w:r>
        <w:rPr>
          <w:i w:val="false"/>
          <w:iCs w:val="false"/>
        </w:rPr>
        <w:t xml:space="preserve">and formulae illustrating your reasoning.</w:t>
      </w:r>
    </w:p>
    <w:p>
      <w:pPr>
        <w:spacing w:after="120"/>
      </w:pPr>
      <w:r>
        <w:rPr>
          <w:i w:val="false"/>
          <w:iCs w:val="false"/>
        </w:rPr>
        <w:t xml:space="preserve">Response:</w:t>
      </w:r>
    </w:p>
    <w:p>
      <w:pPr>
        <w:spacing w:after="120"/>
      </w:pPr>
      <w:r>
        <w:rPr>
          <w:i w:val="false"/>
          <w:iCs w:val="false"/>
        </w:rPr>
        <w:t xml:space="preserve">There are two ways that we can find whether the two segments intersect. The first is to treat the line segments as part of a parametric curve. The two segments $\overline{V_{A,1},V_{A,2}}$ and $\overline{V_{B,1},V_{B,2}}$ on $\mathbb{R}^2$ can be determined if they intersect by considering these two vectors as describing parametric curves which can be written as follows, where $r$, $s$, and $t$ are scalar vectors:</w:t>
      </w:r>
    </w:p>
    <w:p>
      <w:pPr>
        <w:spacing w:after="120"/>
      </w:pPr>
      <w:r>
        <w:rPr>
          <w:i w:val="false"/>
          <w:iCs w:val="false"/>
        </w:rPr>
        <w:t xml:space="preserve">$$L_1:r=V_{A,1}+(t)V_{A,2}$$</w:t>
      </w:r>
    </w:p>
    <w:p>
      <w:pPr>
        <w:spacing w:after="120"/>
      </w:pPr>
      <w:r>
        <w:rPr>
          <w:i w:val="false"/>
          <w:iCs w:val="false"/>
        </w:rPr>
        <w:t xml:space="preserve">$$L_2:r=V_{B,1}+(s)V_{B,2}$$</w:t>
      </w:r>
    </w:p>
    <w:p>
      <w:pPr>
        <w:spacing w:after="120"/>
      </w:pPr>
      <w:r>
        <w:rPr>
          <w:i w:val="false"/>
          <w:iCs w:val="false"/>
        </w:rPr>
        <w:t xml:space="preserve">We can solve this system by setting the equations equal to one another and solving for $t$ and $s$.</w:t>
      </w:r>
    </w:p>
    <w:p>
      <w:pPr>
        <w:spacing w:after="120"/>
      </w:pPr>
      <w:r>
        <w:rPr>
          <w:i w:val="false"/>
          <w:iCs w:val="false"/>
        </w:rPr>
        <w:t xml:space="preserve">$$V_{A,1}+(t)V_{A,2}=V_{B,1}+(s)V_{B,2}$$</w:t>
      </w:r>
    </w:p>
    <w:p>
      <w:pPr>
        <w:spacing w:after="120"/>
      </w:pPr>
      <w:r>
        <w:rPr>
          <w:i w:val="false"/>
          <w:iCs w:val="false"/>
        </w:rPr>
        <w:t xml:space="preserve">Then, if $t$ and $s$ are in both $\overline{V_{A,1},V_{A,2}}$ and $\overline{V_{B,1},V_{B,2}}$, then the lines intersect. If $t$ and $s$ exist, but are not in one or both of the line segments, then the vectors do not intersect. If $t$ and $s$ do not exist for $\overline{V_{A,1},V_{A,2}}$ and $\overline{V_{B,1},V_{B,2}}$, then the vectors are skew and never meet, although this would only happen if they were parallel in the $\mathbb{R}^2$ plane.</w:t>
      </w:r>
    </w:p>
    <w:p>
      <w:pPr>
        <w:spacing w:after="120"/>
      </w:pPr>
      <w:r>
        <w:rPr>
          <w:i w:val="false"/>
          <w:iCs w:val="false"/>
        </w:rPr>
        <w:t xml:space="preserve">While the first way is more generalizable, the second is less computationally complex as solving a system of equations. The second way to determine if the lines intersect requires the lines to be in the $\mathbb{R}^2$ plane. We consider two line segments first as the four points of their vertices, and we can measure the orientation of three points at a time using the winding number method. For the four vertices, there are four orientations to consider, as seen in the figure below. If the sign of orientation 1 and 2 are not equal AND if the sign of orientation 3 and 4 are not equal, then the lines intersect. Python code using this method can be seen in section 1.1.1.</w:t>
      </w:r>
    </w:p>
    <w:p>
      <w:pPr>
        <w:spacing w:after="100" w:before="200"/>
      </w:pPr>
      <w:r>
        <w:rPr>
          <w:b/>
          <w:bCs/>
        </w:rPr>
        <w:t xml:space="preserve">Claude</w:t>
      </w:r>
    </w:p>
    <w:p>
      <w:pPr>
        <w:spacing w:after="120"/>
      </w:pPr>
      <w:r>
        <w:rPr>
          <w:i w:val="false"/>
          <w:iCs w:val="false"/>
        </w:rPr>
        <w:t xml:space="preserve">This one has a real bug in method 1, a terminology problem in method 2, and leaves the actual "how is the intersection point computed" question only half answered. Point by point.</w:t>
      </w:r>
    </w:p>
    <w:p>
      <w:pPr>
        <w:spacing w:after="120"/>
      </w:pPr>
      <w:r>
        <w:rPr>
          <w:i w:val="false"/>
          <w:iCs w:val="false"/>
        </w:rPr>
        <w:t xml:space="preserve"> </w:t>
      </w:r>
    </w:p>
    <w:p>
      <w:pPr>
        <w:spacing w:after="120"/>
      </w:pPr>
      <w:r>
        <w:rPr>
          <w:i w:val="false"/>
          <w:iCs w:val="false"/>
        </w:rPr>
        <w:t xml:space="preserve">Method 1, the parametrization itself is wrong. The response writes L1: r = V_A1 + (t) V_A2. That parametrizes a line through V_A1 in the direction of the position vector V_A2 (measured from the origin), not a line through V_A1 and V_A2. At t=0 you correctly get V_A1, but at t=1 you get V_A1 + V_A2, which is not V_A2 unless V_A1 happens to be the origin. The standard, correct parametrization uses the difference of the two endpoints as the direction vector: L1: r(t) = V_A1 + t(V_A2 - V_A1), so r(0) = V_A1 and r(1) = V_A2 exactly, for any placement of the segment. Same fix applies to L2. This is not a stylistic nitpick, it is the difference between a formula that traces the given segment and one that traces an unrelated line through V_A1.</w:t>
      </w:r>
    </w:p>
    <w:p>
      <w:pPr>
        <w:spacing w:after="120"/>
      </w:pPr>
      <w:r>
        <w:rPr>
          <w:i w:val="false"/>
          <w:iCs w:val="false"/>
        </w:rPr>
        <w:t xml:space="preserve"> </w:t>
      </w:r>
    </w:p>
    <w:p>
      <w:pPr>
        <w:spacing w:after="120"/>
      </w:pPr>
      <w:r>
        <w:rPr>
          <w:i w:val="false"/>
          <w:iCs w:val="false"/>
        </w:rPr>
        <w:t xml:space="preserve">Second, the response sets the two parametrizations equal and says "we can solve this system," but never actually solves it -- the question asks for formulae illustrating the reasoning, and stopping at "a system exists" doesn't show the reasoning that gets you to t and s. Using the corrected direction vectors d_A = V_A2-V_A1, d_B = V_B2-V_B1, and w = V_B1-V_A1, the 2x2 linear system t d_A - s d_B = w has the closed-form solution</w:t>
      </w:r>
    </w:p>
    <w:p>
      <w:pPr>
        <w:spacing w:after="120"/>
      </w:pPr>
      <w:r>
        <w:rPr>
          <w:i w:val="false"/>
          <w:iCs w:val="false"/>
        </w:rPr>
        <w:t xml:space="preserve">t = (w x d_B) / (d_A x d_B), s = (w x d_A) / (d_A x d_B)</w:t>
      </w:r>
    </w:p>
    <w:p>
      <w:pPr>
        <w:spacing w:after="120"/>
      </w:pPr>
      <w:r>
        <w:rPr>
          <w:i w:val="false"/>
          <w:iCs w:val="false"/>
        </w:rPr>
        <w:t xml:space="preserve">using the 2-D cross product a x b = a_x b_y - a_y b_x. The diagram above shows this: once t and s are known and both lie in [0,1], the intersection point is just P = V_A1 + t d_A.</w:t>
      </w:r>
    </w:p>
    <w:p>
      <w:pPr>
        <w:spacing w:after="120"/>
      </w:pPr>
      <w:r>
        <w:rPr>
          <w:i w:val="false"/>
          <w:iCs w:val="false"/>
        </w:rPr>
        <w:t xml:space="preserve"> </w:t>
      </w:r>
    </w:p>
    <w:p>
      <w:pPr>
        <w:spacing w:after="120"/>
      </w:pPr>
      <w:r>
        <w:rPr>
          <w:i w:val="false"/>
          <w:iCs w:val="false"/>
        </w:rPr>
        <w:t xml:space="preserve">Third, a real terminology issue: "we can measure the orientation of three points at a time using the winding number method" -- this isn't the winding number method. Winding number is a different, specific tool (how many times a closed curve loops around a point; it's the usual alternative to ray casting for point-in-polygon tests). What the response is actually describing -- taking three points and checking the sign of (q-p) x (r-p) to see whether the triple turns left or right -- is standard called the orientation test (also "CCW test" / signed-area test), not winding number. The four-orientations, compare-signs-pairwise structure the response describes afterward is otherwise a correct sketch of the standard algorithm (it's essentially the segment-intersection test in CLRS, Introduction to Algorithms, section 33.1), it's just mislabeled.</w:t>
      </w:r>
    </w:p>
    <w:p>
      <w:pPr>
        <w:spacing w:after="120"/>
      </w:pPr>
      <w:r>
        <w:rPr>
          <w:i w:val="false"/>
          <w:iCs w:val="false"/>
        </w:rPr>
        <w:t xml:space="preserve"> </w:t>
      </w:r>
    </w:p>
    <w:p>
      <w:pPr>
        <w:spacing w:after="120"/>
      </w:pPr>
      <w:r>
        <w:rPr>
          <w:i w:val="false"/>
          <w:iCs w:val="false"/>
        </w:rPr>
        <w:t xml:space="preserve">Fourth, that orientation test only answers "do they intersect," not "where." The question asks for both. The response doesn't say how to get the actual point once the orientation test says yes -- in practice you'd still fall back to the parametric formula above (or an equivalent line-line intersection formula) to get coordinates; orientation alone never produces a point.</w:t>
      </w:r>
    </w:p>
    <w:p>
      <w:pPr>
        <w:spacing w:after="120"/>
      </w:pPr>
      <w:r>
        <w:rPr>
          <w:i w:val="false"/>
          <w:iCs w:val="false"/>
        </w:rPr>
        <w:t xml:space="preserve"> </w:t>
      </w:r>
    </w:p>
    <w:p>
      <w:pPr>
        <w:spacing w:after="120"/>
      </w:pPr>
      <w:r>
        <w:rPr>
          <w:i w:val="false"/>
          <w:iCs w:val="false"/>
        </w:rPr>
        <w:t xml:space="preserve">Fifth, the "skew" language is off for R^2 specifically. Skew lines are a three-(or-higher)-dimensional concept -- two lines that neither intersect nor are parallel, which is only possible when they don't lie in a common plane. In the plane, two distinct, non-parallel lines always intersect somewhere (possibly outside both segments); the "no t, s exist" case in 2D is exactly the parallel-direction-vectors case, which the response does correctly identify in the same sentence -- so the word "skew" is doing no real work and is technically the wrong term for what's being described.</w:t>
      </w:r>
    </w:p>
    <w:p>
      <w:pPr>
        <w:spacing w:after="120"/>
      </w:pPr>
      <w:r>
        <w:rPr>
          <w:i w:val="false"/>
          <w:iCs w:val="false"/>
        </w:rPr>
        <w:t xml:space="preserve"> </w:t>
      </w:r>
    </w:p>
    <w:p>
      <w:pPr>
        <w:spacing w:after="120"/>
      </w:pPr>
      <w:r>
        <w:rPr>
          <w:i w:val="false"/>
          <w:iCs w:val="false"/>
        </w:rPr>
        <w:t xml:space="preserve">Sixth, missing edge cases that a full-marks answer would flag: the response's story has no room for two segments that are collinear and overlapping (the linear system is singular but there can still be infinitely many or zero intersection points, resolved by comparing 1-D projections/intervals rather than by t, s at all), or segments that touch exactly at an endpoint (an orientation value of exactly zero, which needs an explicit on-segment check rather than a strict sign comparison). Neither method addresses these.</w:t>
      </w:r>
    </w:p>
    <w:p>
      <w:pPr>
        <w:spacing w:after="120"/>
      </w:pPr>
      <w:r>
        <w:rPr>
          <w:i w:val="false"/>
          <w:iCs w:val="false"/>
        </w:rPr>
        <w:t xml:space="preserve"> </w:t>
      </w:r>
    </w:p>
    <w:p>
      <w:pPr>
        <w:spacing w:after="120"/>
      </w:pPr>
      <w:r>
        <w:rPr>
          <w:i w:val="false"/>
          <w:iCs w:val="false"/>
        </w:rPr>
        <w:t xml:space="preserve">Finally, the response promises a figure ("as seen in the figure below") and references Python code in "section 1.1.1," neither of which is included in what was shared with me, so I can't check whether the figure actually shows the four orientation triangles or whether the code matches the description -- worth confirming both actually appear in the submitted document, since the question requires figures for full marks and none were provided in what I reviewed.</w:t>
      </w:r>
    </w:p>
    <w:p>
      <w:pPr>
        <w:spacing w:after="120"/>
      </w:pPr>
      <w:r>
        <w:rPr>
          <w:i w:val="false"/>
          <w:iCs w:val="false"/>
        </w:rPr>
        <w:t xml:space="preserve"> </w:t>
      </w:r>
    </w:p>
    <w:p>
      <w:pPr>
        <w:spacing w:after="120"/>
      </w:pPr>
      <w:r>
        <w:rPr>
          <w:i w:val="false"/>
          <w:iCs w:val="false"/>
        </w:rPr>
        <w:t xml:space="preserve">References: as with the segment_angle question, this is standard computational geometry rather than something with a natural arXiv citation, so I'll point to real textbook/technical sources instead of inventing a paper:</w:t>
      </w:r>
    </w:p>
    <w:p>
      <w:pPr>
        <w:spacing w:after="120"/>
      </w:pPr>
      <w:r>
        <w:rPr>
          <w:i w:val="false"/>
          <w:iCs w:val="false"/>
        </w:rPr>
        <w:t xml:space="preserve">- Cormen, Leiserson, Rivest, and Stein, "Introduction to Algorithms" (CLRS), Section 33.1 ("Line-segment properties") -- the standard reference for the orientation-based segment intersection test, including the collinear/on-segment edge cases the response is missing.</w:t>
      </w:r>
    </w:p>
    <w:p>
      <w:pPr>
        <w:spacing w:after="120"/>
      </w:pPr>
      <w:r>
        <w:rPr>
          <w:i w:val="false"/>
          <w:iCs w:val="false"/>
        </w:rPr>
        <w:t xml:space="preserve">- Paul Bourke, "Intersection point of two line segments in 2D" (1989), https://paulbourke.net/geometry/pointlineplane/ -- the classic, widely-cited derivation of the closed-form t, s solution above, including the parallel/coincident degenerate cases.</w:t>
      </w:r>
    </w:p>
    <w:p>
      <w:pPr>
        <w:spacing w:after="100" w:before="200"/>
      </w:pPr>
      <w:r>
        <w:rPr>
          <w:b/>
          <w:bCs/>
        </w:rPr>
        <w:t xml:space="preserve">Human</w:t>
      </w:r>
    </w:p>
    <w:p>
      <w:pPr>
        <w:spacing w:after="120"/>
      </w:pPr>
      <w:r>
        <w:rPr>
          <w:i w:val="false"/>
          <w:iCs w:val="false"/>
        </w:rPr>
        <w:t xml:space="preserve">The next response I want you to assess the accuracy of is the following:</w:t>
      </w:r>
    </w:p>
    <w:p>
      <w:pPr>
        <w:spacing w:after="120"/>
      </w:pPr>
      <w:r>
        <w:rPr>
          <w:i w:val="false"/>
          <w:iCs w:val="false"/>
        </w:rPr>
        <w:t xml:space="preserve">Question:</w:t>
      </w:r>
    </w:p>
    <w:p>
      <w:pPr>
        <w:spacing w:after="120"/>
      </w:pPr>
      <w:r>
        <w:rPr>
          <w:i w:val="false"/>
          <w:iCs w:val="false"/>
        </w:rPr>
        <w:t xml:space="preserve">Read the definition of the winding number on Wikipedia.</w:t>
      </w:r>
    </w:p>
    <w:p>
      <w:pPr>
        <w:spacing w:after="120"/>
      </w:pPr>
      <w:r>
        <w:rPr>
          <w:i w:val="false"/>
          <w:iCs w:val="false"/>
        </w:rPr>
        <w:t xml:space="preserve">Explain how you can use the winding number to:</w:t>
      </w:r>
    </w:p>
    <w:p>
      <w:pPr>
        <w:spacing w:after="120"/>
      </w:pPr>
      <w:r>
        <w:rPr>
          <w:i w:val="false"/>
          <w:iCs w:val="false"/>
        </w:rPr>
        <w:t xml:space="preserve">a) Check whether a polygon is filled (counterclockwise ordering) or hollow (clockwise</w:t>
      </w:r>
    </w:p>
    <w:p>
      <w:pPr>
        <w:spacing w:after="120"/>
      </w:pPr>
      <w:r>
        <w:rPr>
          <w:i w:val="false"/>
          <w:iCs w:val="false"/>
        </w:rPr>
        <w:t xml:space="preserve">ordering).</w:t>
      </w:r>
    </w:p>
    <w:p>
      <w:pPr>
        <w:spacing w:after="120"/>
      </w:pPr>
      <w:r>
        <w:rPr>
          <w:i w:val="false"/>
          <w:iCs w:val="false"/>
        </w:rPr>
        <w:t xml:space="preserve">b) Check whether a given point is in collision (inside) or not.</w:t>
      </w:r>
    </w:p>
    <w:p>
      <w:pPr>
        <w:spacing w:after="120"/>
      </w:pPr>
      <w:r>
        <w:rPr>
          <w:i w:val="false"/>
          <w:iCs w:val="false"/>
        </w:rPr>
        <w:t xml:space="preserve">Response:</w:t>
      </w:r>
    </w:p>
    <w:p>
      <w:pPr>
        <w:spacing w:after="120"/>
      </w:pPr>
      <w:r>
        <w:rPr>
          <w:i w:val="false"/>
          <w:iCs w:val="false"/>
        </w:rPr>
        <w:t xml:space="preserve">a) Assuming that the origin is within the given polygon, we can use the winding number algorithm to determine whether a polygon is filled or hollow by the ssign of the winding number's output. A filled polygon would move counterclockwise and output a +1. A hollow polygon would rotate clockwise and output a -1. This relies on the problem setup that the polygon does not loop back onto itself. Thus we can determine a filled or hollow polygon based off of the sign of the winding number algorithm's output.</w:t>
      </w:r>
    </w:p>
    <w:p>
      <w:pPr>
        <w:spacing w:after="120"/>
      </w:pPr>
      <w:r>
        <w:rPr>
          <w:i w:val="false"/>
          <w:iCs w:val="false"/>
        </w:rPr>
        <w:t xml:space="preserve">b) If a given point is not in collision, it will not alter the flow of the winding number algorithm (i.e. it will not affect the number being calculated by the winding number algorithm). However, if the point is in collision, it will affect the output of the winding number algorithm.</w:t>
      </w:r>
    </w:p>
    <w:p>
      <w:pPr>
        <w:spacing w:after="100" w:before="200"/>
      </w:pPr>
      <w:r>
        <w:rPr>
          <w:b/>
          <w:bCs/>
        </w:rPr>
        <w:t xml:space="preserve">Claude</w:t>
      </w:r>
    </w:p>
    <w:p>
      <w:pPr>
        <w:spacing w:after="120"/>
      </w:pPr>
      <w:r>
        <w:rPr>
          <w:i w:val="false"/>
          <w:iCs w:val="false"/>
        </w:rPr>
        <w:t xml:space="preserve">Part (a) has the right general fact but an unjustified assumption; part (b) doesn't actually explain the mechanism, and gets the logical direction backwards. Also worth flagging: unlike the previous two questions, this one does not say "include a figure and formulae for full marks," so I'm not counting missing figures against it the way I did last time -- but the question does say "read the definition of the winding number," and the response never engages with the actual definition or writes down a formula, which is a real gap given that instruction.</w:t>
      </w:r>
    </w:p>
    <w:p>
      <w:pPr>
        <w:spacing w:after="120"/>
      </w:pPr>
      <w:r>
        <w:rPr>
          <w:i w:val="false"/>
          <w:iCs w:val="false"/>
        </w:rPr>
        <w:t xml:space="preserve"> </w:t>
      </w:r>
    </w:p>
    <w:p>
      <w:pPr>
        <w:spacing w:after="120"/>
      </w:pPr>
      <w:r>
        <w:rPr>
          <w:i w:val="false"/>
          <w:iCs w:val="false"/>
        </w:rPr>
        <w:t xml:space="preserve">Part (a). The core fact is right: for a simple (non-self-intersecting) closed curve and a point strictly inside it, the winding number is +1 if the curve is traversed counterclockwise and -1 if clockwise; this is the standard sign convention (also used in the Wikipedia article the question points to). The response states this correctly, and correctly flags that it depends on the polygon being simple ("does not loop back onto itself").</w:t>
      </w:r>
    </w:p>
    <w:p>
      <w:pPr>
        <w:spacing w:after="120"/>
      </w:pPr>
      <w:r>
        <w:rPr>
          <w:i w:val="false"/>
          <w:iCs w:val="false"/>
        </w:rPr>
        <w:t xml:space="preserve"> </w:t>
      </w:r>
    </w:p>
    <w:p>
      <w:pPr>
        <w:spacing w:after="120"/>
      </w:pPr>
      <w:r>
        <w:rPr>
          <w:i w:val="false"/>
          <w:iCs w:val="false"/>
        </w:rPr>
        <w:t xml:space="preserve">But "assuming that the origin is within the given polygon" is not a generally valid assumption, and it isn't the assumption that's actually needed. Winding number is computed with respect to whatever point you choose; nothing requires that point to be the coordinate origin (0,0), and most polygons don't contain (0,0) at all. What you actually need is any point known to lie strictly inside the polygon, for example its centroid. If, in this specific assignment, every polygon's vertices happen to be stored in a local frame where (0,0) is guaranteed to be interior, then the origin is a legitimate and convenient choice for this codebase -- but that would be a property of this assignment's data representation, not a general fact about winding numbers, and the response doesn't say which case it means. Worth checking the assignment's Polygon representation to see which of these it actually is.</w:t>
      </w:r>
    </w:p>
    <w:p>
      <w:pPr>
        <w:spacing w:after="120"/>
      </w:pPr>
      <w:r>
        <w:rPr>
          <w:i w:val="false"/>
          <w:iCs w:val="false"/>
        </w:rPr>
        <w:t xml:space="preserve"> </w:t>
      </w:r>
    </w:p>
    <w:p>
      <w:pPr>
        <w:spacing w:after="120"/>
      </w:pPr>
      <w:r>
        <w:rPr>
          <w:i w:val="false"/>
          <w:iCs w:val="false"/>
        </w:rPr>
        <w:t xml:space="preserve">Part (b) is the bigger problem. As written, it says the point's collision status "affects" the winding number's output rather than saying how you'd determine that status in the first place -- that's circular: it presupposes you already know whether the point is in collision, then talks about what that does to a calculation, instead of explaining that the winding number computation is how you find out. The actual mechanism (this is the standard "nonzero rule" for point-in-polygon, e.g. Sunday's winding-number inclusion test) is: compute the winding number of the polygon around the query point itself; if it comes out to 0 the point is outside, and if it's nonzero the point is inside. The response never states this.</w:t>
      </w:r>
    </w:p>
    <w:p>
      <w:pPr>
        <w:spacing w:after="120"/>
      </w:pPr>
      <w:r>
        <w:rPr>
          <w:i w:val="false"/>
          <w:iCs w:val="false"/>
        </w:rPr>
        <w:t xml:space="preserve"> </w:t>
      </w:r>
    </w:p>
    <w:p>
      <w:pPr>
        <w:spacing w:after="120"/>
      </w:pPr>
      <w:r>
        <w:rPr>
          <w:i w:val="false"/>
          <w:iCs w:val="false"/>
        </w:rPr>
        <w:t xml:space="preserve">It also never connects back to part (a), even though the two parts are clearly meant to fit together: knowing whether a polygon is filled or hollow only matters for collision-checking if you then use that fact to interpret "inside" correctly. For a filled (solid) obstacle, inside means in collision. For a hollow polygon representing, say, the outer boundary of the free workspace, inside means free and outside means out of bounds -- the interpretation of "inside" flips depending on the answer to part (a), and the response gives no indication that this matters, despite being asked the two questions side by side.</w:t>
      </w:r>
    </w:p>
    <w:p>
      <w:pPr>
        <w:spacing w:after="120"/>
      </w:pPr>
      <w:r>
        <w:rPr>
          <w:i w:val="false"/>
          <w:iCs w:val="false"/>
        </w:rPr>
        <w:t xml:space="preserve"> </w:t>
      </w:r>
    </w:p>
    <w:p>
      <w:pPr>
        <w:spacing w:after="120"/>
      </w:pPr>
      <w:r>
        <w:rPr>
          <w:i w:val="false"/>
          <w:iCs w:val="false"/>
        </w:rPr>
        <w:t xml:space="preserve">Finally, since the question explicitly points you at the winding number's definition, the strongest version of this answer would have written it down: for a polygon with vertices V_1...V_n (indices mod n) and a point p not on the boundary, W(p) = (1/2*pi) * sum_i segment_angle(V_i, p, V_{i+1}) -- literally the same segment_angle computation from the first question in this session, summed once per edge as seen from p. The diagram above shows this: four dashed rays from an interior point p to the vertices of a CCW quadrilateral, with the sum of the four signed angles at p equal to 2*pi, giving W(p) = +1. That connection -- reusing segment_angle to build the winding number, then using the sign/nonzero-ness of the result for (a) and (b) respectively -- is arguably the whole point of sequencing these three questions together, and the response doesn't make it.</w:t>
      </w:r>
    </w:p>
    <w:p>
      <w:pPr>
        <w:spacing w:after="120"/>
      </w:pPr>
      <w:r>
        <w:rPr>
          <w:i w:val="false"/>
          <w:iCs w:val="false"/>
        </w:rPr>
        <w:t xml:space="preserve"> </w:t>
      </w:r>
    </w:p>
    <w:p>
      <w:pPr>
        <w:spacing w:after="120"/>
      </w:pPr>
      <w:r>
        <w:rPr>
          <w:i w:val="false"/>
          <w:iCs w:val="false"/>
        </w:rPr>
        <w:t xml:space="preserve">References: as before, I'd rather point to the real, standard sources than force an arXiv citation for foundational computational geometry:</w:t>
      </w:r>
    </w:p>
    <w:p>
      <w:pPr>
        <w:spacing w:after="120"/>
      </w:pPr>
      <w:r>
        <w:rPr>
          <w:i w:val="false"/>
          <w:iCs w:val="false"/>
        </w:rPr>
        <w:t xml:space="preserve">- Wikipedia, "Winding number" -- already named in the question; the "sum of signed angles / 2*pi" formula and the CCW = +1 / CW = -1 convention are both there.</w:t>
      </w:r>
    </w:p>
    <w:p>
      <w:pPr>
        <w:spacing w:after="120"/>
      </w:pPr>
      <w:r>
        <w:rPr>
          <w:i w:val="false"/>
          <w:iCs w:val="false"/>
        </w:rPr>
        <w:t xml:space="preserve">- Dan Sunday, "Inclusion of a Point in a Polygon" (softsurfer / geomalgorithms.com; also collected in his book Practical Geometry Algorithms) -- the standard reference for the winding-number ("nonzero rule") point-in-polygon test that part (b) is actually asking about, including why it's more robust than crossing-number/even-odd counting for self-intersecting polygons.</w:t>
      </w:r>
    </w:p>
    <w:p>
      <w:pPr>
        <w:spacing w:after="100" w:before="200"/>
      </w:pPr>
      <w:r>
        <w:rPr>
          <w:b/>
          <w:bCs/>
        </w:rPr>
        <w:t xml:space="preserve">Human</w:t>
      </w:r>
    </w:p>
    <w:p>
      <w:pPr>
        <w:spacing w:after="120"/>
      </w:pPr>
      <w:r>
        <w:rPr>
          <w:i w:val="false"/>
          <w:iCs w:val="false"/>
        </w:rPr>
        <w:t xml:space="preserve">[Attached file: excerpt_from_previous_claude_message.txt -- containing the line "w = V_B1-V_A1,"]</w:t>
      </w:r>
    </w:p>
    <w:p>
      <w:pPr>
        <w:spacing w:after="120"/>
      </w:pPr>
      <w:r>
        <w:rPr>
          <w:i w:val="false"/>
          <w:iCs w:val="false"/>
        </w:rPr>
        <w:t xml:space="preserve">what does w mean here?</w:t>
      </w:r>
    </w:p>
    <w:p>
      <w:pPr>
        <w:spacing w:after="100" w:before="200"/>
      </w:pPr>
      <w:r>
        <w:rPr>
          <w:b/>
          <w:bCs/>
        </w:rPr>
        <w:t xml:space="preserve">Claude</w:t>
      </w:r>
    </w:p>
    <w:p>
      <w:pPr>
        <w:spacing w:after="120"/>
      </w:pPr>
      <w:r>
        <w:rPr>
          <w:i w:val="false"/>
          <w:iCs w:val="false"/>
        </w:rPr>
        <w:t xml:space="preserve">w = V_B1 - V_A1 is the displacement vector from segment A's start point to segment B's start point -- how far apart the two segments' starting corners are.</w:t>
      </w:r>
    </w:p>
    <w:p>
      <w:pPr>
        <w:spacing w:after="120"/>
      </w:pPr>
      <w:r>
        <w:rPr>
          <w:i w:val="false"/>
          <w:iCs w:val="false"/>
        </w:rPr>
        <w:t xml:space="preserve"> </w:t>
      </w:r>
    </w:p>
    <w:p>
      <w:pPr>
        <w:spacing w:after="120"/>
      </w:pPr>
      <w:r>
        <w:rPr>
          <w:i w:val="false"/>
          <w:iCs w:val="false"/>
        </w:rPr>
        <w:t xml:space="preserve">It falls out of setting the two parametrized lines equal to each other: V_A1 + t*d_A = V_B1 + s*d_B. Moving the position terms to one side and the vertex terms to the other gives t*d_A - s*d_B = V_B1 - V_A1, and the right-hand side is exactly w. So the linear system being solved is: starting from V_A1, some combination of t steps along d_A and s steps along d_B should land exactly on the gap w between the two segments' start points. Once t and s are solved for, plugging either back in (V_A1 + t*d_A, or equivalently V_B1 + s*d_B) gives the intersection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2026-09-15T17:31:13.760Z</dcterms:created>
  <dcterms:modified xsi:type="dcterms:W3CDTF">2026-09-15T17:31:13.771Z</dcterms:modified>
</cp:coreProperties>
</file>

<file path=docProps/custom.xml><?xml version="1.0" encoding="utf-8"?>
<Properties xmlns="http://schemas.openxmlformats.org/officeDocument/2006/custom-properties" xmlns:vt="http://schemas.openxmlformats.org/officeDocument/2006/docPropsVTypes"/>
</file>