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Running Transcript</w:t>
      </w:r>
    </w:p>
    <w:p>
      <w:pPr>
        <w:spacing w:after="200"/>
      </w:pPr>
      <w:r>
        <w:rPr>
          <w:i/>
          <w:iCs/>
        </w:rPr>
        <w:t xml:space="preserve">Project: ME570 -- standing instructions and log of Human/Claude turns for this chat.</w:t>
      </w:r>
    </w:p>
    <w:p>
      <w:pPr>
        <w:pStyle w:val="Heading2"/>
      </w:pPr>
      <w:r>
        <w:t xml:space="preserve">Overhead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999999" w:sz="4"/>
              <w:left w:val="single" w:color="999999" w:sz="4"/>
              <w:bottom w:val="single" w:color="999999" w:sz="4"/>
              <w:right w:val="single" w:color="999999" w:sz="4"/>
            </w:tcBorders>
            <w:shd w:fill="D9D9D9" w:val="clear"/>
          </w:tcPr>
          <w:p>
            <w:r>
              <w:rPr>
                <w:b/>
                <w:bCs/>
              </w:rPr>
              <w:t xml:space="preserve">#</w:t>
            </w:r>
          </w:p>
        </w:tc>
        <w:tc>
          <w:tcPr>
            <w:tcW w:type="dxa" w:w="8660"/>
            <w:tcBorders>
              <w:top w:val="single" w:color="999999" w:sz="4"/>
              <w:left w:val="single" w:color="999999" w:sz="4"/>
              <w:bottom w:val="single" w:color="999999" w:sz="4"/>
              <w:right w:val="single" w:color="999999" w:sz="4"/>
            </w:tcBorders>
            <w:shd w:fill="D9D9D9" w:val="clear"/>
          </w:tcPr>
          <w:p>
            <w:r>
              <w:rPr>
                <w:b/>
                <w:bCs/>
              </w:rPr>
              <w:t xml:space="preserve">Instruction</w:t>
            </w:r>
          </w:p>
        </w:tc>
      </w:tr>
      <w:tr>
        <w:tc>
          <w:tcPr>
            <w:tcW w:type="dxa" w:w="700"/>
            <w:tcBorders>
              <w:top w:val="single" w:color="999999" w:sz="4"/>
              <w:left w:val="single" w:color="999999" w:sz="4"/>
              <w:bottom w:val="single" w:color="999999" w:sz="4"/>
              <w:right w:val="single" w:color="999999" w:sz="4"/>
            </w:tcBorders>
          </w:tcPr>
          <w:p>
            <w:r>
              <w:t xml:space="preserve">1</w:t>
            </w:r>
          </w:p>
        </w:tc>
        <w:tc>
          <w:tcPr>
            <w:tcW w:type="dxa" w:w="8660"/>
            <w:tcBorders>
              <w:top w:val="single" w:color="999999" w:sz="4"/>
              <w:left w:val="single" w:color="999999" w:sz="4"/>
              <w:bottom w:val="single" w:color="999999" w:sz="4"/>
              <w:right w:val="single" w:color="999999" w:sz="4"/>
            </w:tcBorders>
          </w:tcPr>
          <w:p>
            <w:r>
              <w:t xml:space="preserve">Keep a running Word-document transcript for each chat.</w:t>
            </w:r>
          </w:p>
        </w:tc>
      </w:tr>
      <w:tr>
        <w:tc>
          <w:tcPr>
            <w:tcW w:type="dxa" w:w="700"/>
            <w:tcBorders>
              <w:top w:val="single" w:color="999999" w:sz="4"/>
              <w:left w:val="single" w:color="999999" w:sz="4"/>
              <w:bottom w:val="single" w:color="999999" w:sz="4"/>
              <w:right w:val="single" w:color="999999" w:sz="4"/>
            </w:tcBorders>
          </w:tcPr>
          <w:p>
            <w:r>
              <w:t xml:space="preserve">2</w:t>
            </w:r>
          </w:p>
        </w:tc>
        <w:tc>
          <w:tcPr>
            <w:tcW w:type="dxa" w:w="8660"/>
            <w:tcBorders>
              <w:top w:val="single" w:color="999999" w:sz="4"/>
              <w:left w:val="single" w:color="999999" w:sz="4"/>
              <w:bottom w:val="single" w:color="999999" w:sz="4"/>
              <w:right w:val="single" w:color="999999" w:sz="4"/>
            </w:tcBorders>
          </w:tcPr>
          <w:p>
            <w:r>
              <w:t xml:space="preserve">Initialize the document to match the style of the attached document "Claude_Running_Transcript_Template.docx".</w:t>
            </w:r>
          </w:p>
        </w:tc>
      </w:tr>
      <w:tr>
        <w:tc>
          <w:tcPr>
            <w:tcW w:type="dxa" w:w="700"/>
            <w:tcBorders>
              <w:top w:val="single" w:color="999999" w:sz="4"/>
              <w:left w:val="single" w:color="999999" w:sz="4"/>
              <w:bottom w:val="single" w:color="999999" w:sz="4"/>
              <w:right w:val="single" w:color="999999" w:sz="4"/>
            </w:tcBorders>
          </w:tcPr>
          <w:p>
            <w:r>
              <w:t xml:space="preserve">3</w:t>
            </w:r>
          </w:p>
        </w:tc>
        <w:tc>
          <w:tcPr>
            <w:tcW w:type="dxa" w:w="8660"/>
            <w:tcBorders>
              <w:top w:val="single" w:color="999999" w:sz="4"/>
              <w:left w:val="single" w:color="999999" w:sz="4"/>
              <w:bottom w:val="single" w:color="999999" w:sz="4"/>
              <w:right w:val="single" w:color="999999" w:sz="4"/>
            </w:tcBorders>
          </w:tcPr>
          <w:p>
            <w:r>
              <w:t xml:space="preserve">After the conversation document is initialized, append only to the document, do not regenerate the file each time. Prompt the user any time a matter of formatting is in question before regenerating the entire document.</w:t>
            </w:r>
          </w:p>
        </w:tc>
      </w:tr>
      <w:tr>
        <w:tc>
          <w:tcPr>
            <w:tcW w:type="dxa" w:w="700"/>
            <w:tcBorders>
              <w:top w:val="single" w:color="999999" w:sz="4"/>
              <w:left w:val="single" w:color="999999" w:sz="4"/>
              <w:bottom w:val="single" w:color="999999" w:sz="4"/>
              <w:right w:val="single" w:color="999999" w:sz="4"/>
            </w:tcBorders>
          </w:tcPr>
          <w:p>
            <w:r>
              <w:t xml:space="preserve">4</w:t>
            </w:r>
          </w:p>
        </w:tc>
        <w:tc>
          <w:tcPr>
            <w:tcW w:type="dxa" w:w="8660"/>
            <w:tcBorders>
              <w:top w:val="single" w:color="999999" w:sz="4"/>
              <w:left w:val="single" w:color="999999" w:sz="4"/>
              <w:bottom w:val="single" w:color="999999" w:sz="4"/>
              <w:right w:val="single" w:color="999999" w:sz="4"/>
            </w:tcBorders>
          </w:tcPr>
          <w:p>
            <w:r>
              <w:t xml:space="preserve">Label the user's inputs "Human" and Claude's responses "Claude" in the conversation log below.</w:t>
            </w:r>
          </w:p>
        </w:tc>
      </w:tr>
      <w:tr>
        <w:tc>
          <w:tcPr>
            <w:tcW w:type="dxa" w:w="700"/>
            <w:tcBorders>
              <w:top w:val="single" w:color="999999" w:sz="4"/>
              <w:left w:val="single" w:color="999999" w:sz="4"/>
              <w:bottom w:val="single" w:color="999999" w:sz="4"/>
              <w:right w:val="single" w:color="999999" w:sz="4"/>
            </w:tcBorders>
          </w:tcPr>
          <w:p>
            <w:r>
              <w:t xml:space="preserve">5</w:t>
            </w:r>
          </w:p>
        </w:tc>
        <w:tc>
          <w:tcPr>
            <w:tcW w:type="dxa" w:w="8660"/>
            <w:tcBorders>
              <w:top w:val="single" w:color="999999" w:sz="4"/>
              <w:left w:val="single" w:color="999999" w:sz="4"/>
              <w:bottom w:val="single" w:color="999999" w:sz="4"/>
              <w:right w:val="single" w:color="999999" w:sz="4"/>
            </w:tcBorders>
          </w:tcPr>
          <w:p>
            <w:r>
              <w:t xml:space="preserve">Reference any files Claude produces by title name; do not embed their contents in the transcript.</w:t>
            </w:r>
          </w:p>
        </w:tc>
      </w:tr>
      <w:tr>
        <w:tc>
          <w:tcPr>
            <w:tcW w:type="dxa" w:w="700"/>
            <w:tcBorders>
              <w:top w:val="single" w:color="999999" w:sz="4"/>
              <w:left w:val="single" w:color="999999" w:sz="4"/>
              <w:bottom w:val="single" w:color="999999" w:sz="4"/>
              <w:right w:val="single" w:color="999999" w:sz="4"/>
            </w:tcBorders>
          </w:tcPr>
          <w:p>
            <w:r>
              <w:t xml:space="preserve">6</w:t>
            </w:r>
          </w:p>
        </w:tc>
        <w:tc>
          <w:tcPr>
            <w:tcW w:type="dxa" w:w="8660"/>
            <w:tcBorders>
              <w:top w:val="single" w:color="999999" w:sz="4"/>
              <w:left w:val="single" w:color="999999" w:sz="4"/>
              <w:bottom w:val="single" w:color="999999" w:sz="4"/>
              <w:right w:val="single" w:color="999999" w:sz="4"/>
            </w:tcBorders>
          </w:tcPr>
          <w:p>
            <w:r>
              <w:t xml:space="preserve">For Python script, append short functions, but larger functions save to their own file and do not append to the discussion. Reference these code files in the transcript by name.</w:t>
            </w:r>
          </w:p>
        </w:tc>
      </w:tr>
      <w:tr>
        <w:tc>
          <w:tcPr>
            <w:tcW w:type="dxa" w:w="700"/>
            <w:tcBorders>
              <w:top w:val="single" w:color="999999" w:sz="4"/>
              <w:left w:val="single" w:color="999999" w:sz="4"/>
              <w:bottom w:val="single" w:color="999999" w:sz="4"/>
              <w:right w:val="single" w:color="999999" w:sz="4"/>
            </w:tcBorders>
          </w:tcPr>
          <w:p>
            <w:r>
              <w:t xml:space="preserve">7</w:t>
            </w:r>
          </w:p>
        </w:tc>
        <w:tc>
          <w:tcPr>
            <w:tcW w:type="dxa" w:w="8660"/>
            <w:tcBorders>
              <w:top w:val="single" w:color="999999" w:sz="4"/>
              <w:left w:val="single" w:color="999999" w:sz="4"/>
              <w:bottom w:val="single" w:color="999999" w:sz="4"/>
              <w:right w:val="single" w:color="999999" w:sz="4"/>
            </w:tcBorders>
          </w:tcPr>
          <w:p>
            <w:r>
              <w:t xml:space="preserve">Each chat's transcript is self-contained -- no carryover needed between chats.</w:t>
            </w:r>
          </w:p>
        </w:tc>
      </w:tr>
      <w:tr>
        <w:tc>
          <w:tcPr>
            <w:tcW w:type="dxa" w:w="700"/>
            <w:tcBorders>
              <w:top w:val="single" w:color="999999" w:sz="4"/>
              <w:left w:val="single" w:color="999999" w:sz="4"/>
              <w:bottom w:val="single" w:color="999999" w:sz="4"/>
              <w:right w:val="single" w:color="999999" w:sz="4"/>
            </w:tcBorders>
          </w:tcPr>
          <w:p>
            <w:r>
              <w:t xml:space="preserve">8</w:t>
            </w:r>
          </w:p>
        </w:tc>
        <w:tc>
          <w:tcPr>
            <w:tcW w:type="dxa" w:w="8660"/>
            <w:tcBorders>
              <w:top w:val="single" w:color="999999" w:sz="4"/>
              <w:left w:val="single" w:color="999999" w:sz="4"/>
              <w:bottom w:val="single" w:color="999999" w:sz="4"/>
              <w:right w:val="single" w:color="999999" w:sz="4"/>
            </w:tcBorders>
          </w:tcPr>
          <w:p>
            <w:r>
              <w:t xml:space="preserve">Standing/governing instructions such as these are kept in this "Overhead Instructions" table, separate from the Human/Claude conversation log.</w:t>
            </w:r>
          </w:p>
        </w:tc>
      </w:tr>
      <w:tr>
        <w:tc>
          <w:tcPr>
            <w:tcW w:type="dxa" w:w="700"/>
            <w:tcBorders>
              <w:top w:val="single" w:color="999999" w:sz="4"/>
              <w:left w:val="single" w:color="999999" w:sz="4"/>
              <w:bottom w:val="single" w:color="999999" w:sz="4"/>
              <w:right w:val="single" w:color="999999" w:sz="4"/>
            </w:tcBorders>
          </w:tcPr>
          <w:p>
            <w:r>
              <w:t xml:space="preserve">9</w:t>
            </w:r>
          </w:p>
        </w:tc>
        <w:tc>
          <w:tcPr>
            <w:tcW w:type="dxa" w:w="8660"/>
            <w:tcBorders>
              <w:top w:val="single" w:color="999999" w:sz="4"/>
              <w:left w:val="single" w:color="999999" w:sz="4"/>
              <w:bottom w:val="single" w:color="999999" w:sz="4"/>
              <w:right w:val="single" w:color="999999" w:sz="4"/>
            </w:tcBorders>
          </w:tcPr>
          <w:p>
            <w:r>
              <w:t xml:space="preserve">Include all dialogue in the conversation log below, including instruction-only Human messages -- these are no longer omitted from the log (they are still additionally filed here when they represent standing instructions).</w:t>
            </w:r>
          </w:p>
        </w:tc>
      </w:tr>
      <w:tr>
        <w:tc>
          <w:tcPr>
            <w:tcW w:type="dxa" w:w="700"/>
            <w:tcBorders>
              <w:top w:val="single" w:color="999999" w:sz="4"/>
              <w:left w:val="single" w:color="999999" w:sz="4"/>
              <w:bottom w:val="single" w:color="999999" w:sz="4"/>
              <w:right w:val="single" w:color="999999" w:sz="4"/>
            </w:tcBorders>
          </w:tcPr>
          <w:p>
            <w:r>
              <w:t xml:space="preserve">10</w:t>
            </w:r>
          </w:p>
        </w:tc>
        <w:tc>
          <w:tcPr>
            <w:tcW w:type="dxa" w:w="8660"/>
            <w:tcBorders>
              <w:top w:val="single" w:color="999999" w:sz="4"/>
              <w:left w:val="single" w:color="999999" w:sz="4"/>
              <w:bottom w:val="single" w:color="999999" w:sz="4"/>
              <w:right w:val="single" w:color="999999" w:sz="4"/>
            </w:tcBorders>
          </w:tcPr>
          <w:p>
            <w:r>
              <w:t xml:space="preserve">Show the file when it is initialized at the start of the conversation, but do not show the file each time it is appended to. Show when prompted.</w:t>
            </w:r>
          </w:p>
        </w:tc>
      </w:tr>
      <w:tr>
        <w:tc>
          <w:tcPr>
            <w:tcW w:type="dxa" w:w="700"/>
            <w:tcBorders>
              <w:top w:val="single" w:color="999999" w:sz="4"/>
              <w:left w:val="single" w:color="999999" w:sz="4"/>
              <w:bottom w:val="single" w:color="999999" w:sz="4"/>
              <w:right w:val="single" w:color="999999" w:sz="4"/>
            </w:tcBorders>
          </w:tcPr>
          <w:p>
            <w:r>
              <w:t xml:space="preserve">11</w:t>
            </w:r>
          </w:p>
        </w:tc>
        <w:tc>
          <w:tcPr>
            <w:tcW w:type="dxa" w:w="8660"/>
            <w:tcBorders>
              <w:top w:val="single" w:color="999999" w:sz="4"/>
              <w:left w:val="single" w:color="999999" w:sz="4"/>
              <w:bottom w:val="single" w:color="999999" w:sz="4"/>
              <w:right w:val="single" w:color="999999" w:sz="4"/>
            </w:tcBorders>
          </w:tcPr>
          <w:p>
            <w:r>
              <w:t xml:space="preserve">Do not fabricate facts.</w:t>
            </w:r>
          </w:p>
        </w:tc>
      </w:tr>
      <w:tr>
        <w:tc>
          <w:tcPr>
            <w:tcW w:type="dxa" w:w="700"/>
            <w:tcBorders>
              <w:top w:val="single" w:color="999999" w:sz="4"/>
              <w:left w:val="single" w:color="999999" w:sz="4"/>
              <w:bottom w:val="single" w:color="999999" w:sz="4"/>
              <w:right w:val="single" w:color="999999" w:sz="4"/>
            </w:tcBorders>
          </w:tcPr>
          <w:p>
            <w:r>
              <w:t xml:space="preserve">12</w:t>
            </w:r>
          </w:p>
        </w:tc>
        <w:tc>
          <w:tcPr>
            <w:tcW w:type="dxa" w:w="8660"/>
            <w:tcBorders>
              <w:top w:val="single" w:color="999999" w:sz="4"/>
              <w:left w:val="single" w:color="999999" w:sz="4"/>
              <w:bottom w:val="single" w:color="999999" w:sz="4"/>
              <w:right w:val="single" w:color="999999" w:sz="4"/>
            </w:tcBorders>
          </w:tcPr>
          <w:p>
            <w:r>
              <w:t xml:space="preserve">Do not only agree with me. Debate me. Challenge my understanding.</w:t>
            </w:r>
          </w:p>
        </w:tc>
      </w:tr>
      <w:tr>
        <w:tc>
          <w:tcPr>
            <w:tcW w:type="dxa" w:w="700"/>
            <w:tcBorders>
              <w:top w:val="single" w:color="999999" w:sz="4"/>
              <w:left w:val="single" w:color="999999" w:sz="4"/>
              <w:bottom w:val="single" w:color="999999" w:sz="4"/>
              <w:right w:val="single" w:color="999999" w:sz="4"/>
            </w:tcBorders>
          </w:tcPr>
          <w:p>
            <w:r>
              <w:t xml:space="preserve">13</w:t>
            </w:r>
          </w:p>
        </w:tc>
        <w:tc>
          <w:tcPr>
            <w:tcW w:type="dxa" w:w="8660"/>
            <w:tcBorders>
              <w:top w:val="single" w:color="999999" w:sz="4"/>
              <w:left w:val="single" w:color="999999" w:sz="4"/>
              <w:bottom w:val="single" w:color="999999" w:sz="4"/>
              <w:right w:val="single" w:color="999999" w:sz="4"/>
            </w:tcBorders>
          </w:tcPr>
          <w:p>
            <w:r>
              <w:t xml:space="preserve">Provide references to papers (arxiv.org if applicable).</w:t>
            </w:r>
          </w:p>
        </w:tc>
      </w:tr>
    </w:tbl>
    <w:p>
      <w:pPr>
        <w:pStyle w:val="Heading2"/>
        <w:spacing w:before="240"/>
      </w:pPr>
      <w:r>
        <w:t xml:space="preserve">Conversation Log</w:t>
      </w:r>
    </w:p>
    <w:p>
      <w:pPr>
        <w:spacing w:after="80" w:before="200"/>
      </w:pPr>
      <w:r>
        <w:rPr>
          <w:b/>
          <w:bCs/>
        </w:rPr>
        <w:t xml:space="preserve">Human</w:t>
      </w:r>
    </w:p>
    <w:p>
      <w:pPr>
        <w:spacing w:after="80"/>
      </w:pPr>
      <w:r>
        <w:t xml:space="preserve">Keep a running Word-document transcript for each chat.</w:t>
      </w:r>
    </w:p>
    <w:p>
      <w:pPr>
        <w:spacing w:after="80"/>
      </w:pPr>
      <w:r>
        <w:t xml:space="preserve">Initialize the document to match the style of the attached document "Claude_Running_Transcript_Template.docx".</w:t>
      </w:r>
    </w:p>
    <w:p>
      <w:pPr>
        <w:spacing w:after="80"/>
      </w:pPr>
      <w:r>
        <w:t xml:space="preserve">After the conversation document is initialized, append only to the document, do not regenerate the file each time. Prompt the user any time a matter of formatting is in question before regenerating the entire document.</w:t>
      </w:r>
    </w:p>
    <w:p>
      <w:pPr>
        <w:spacing w:after="80"/>
      </w:pPr>
      <w:r>
        <w:t xml:space="preserve">Label the user's inputs "Human" and Claude's responses "Claude" in the conversation log below.</w:t>
      </w:r>
    </w:p>
    <w:p>
      <w:pPr>
        <w:spacing w:after="80"/>
      </w:pPr>
      <w:r>
        <w:t xml:space="preserve">Reference any files Claude produces by title name; do not embed their contents in the transcript.</w:t>
      </w:r>
    </w:p>
    <w:p>
      <w:pPr>
        <w:spacing w:after="80"/>
      </w:pPr>
      <w:r>
        <w:t xml:space="preserve">For Python script, append short functions, but larger functions save to their own file and do not append to the discussion. Reference these code files in the transcript by name.</w:t>
      </w:r>
    </w:p>
    <w:p>
      <w:pPr>
        <w:spacing w:after="80"/>
      </w:pPr>
      <w:r>
        <w:t xml:space="preserve">Each chat's transcript is self-contained -- no carryover needed between chats.</w:t>
      </w:r>
    </w:p>
    <w:p>
      <w:pPr>
        <w:spacing w:after="80"/>
      </w:pPr>
      <w:r>
        <w:t xml:space="preserve">Standing/governing instructions such as these are kept in this "Overhead Instructions" table, separate from the Human/Claude conversation log.</w:t>
      </w:r>
    </w:p>
    <w:p>
      <w:pPr>
        <w:spacing w:after="80"/>
      </w:pPr>
      <w:r>
        <w:t xml:space="preserve">Include all dialogue in the conversation log below, including instruction-only Human messages -- these are no longer omitted from the log (they are still additionally filed here when they represent standing instructions).</w:t>
      </w:r>
    </w:p>
    <w:p>
      <w:pPr>
        <w:spacing w:after="80"/>
      </w:pPr>
      <w:r>
        <w:t xml:space="preserve">Show the file when it is initialized at the start of the conversation, but do not show the file each time it is appended to. Show when prompted.</w:t>
      </w:r>
    </w:p>
    <w:p/>
    <w:p>
      <w:pPr>
        <w:spacing w:after="80"/>
      </w:pPr>
      <w:r>
        <w:t xml:space="preserve">Do not fabricate facts.</w:t>
      </w:r>
    </w:p>
    <w:p>
      <w:pPr>
        <w:spacing w:after="80"/>
      </w:pPr>
      <w:r>
        <w:t xml:space="preserve">Do not only agree with me. Debate me. Challenge my understanding.</w:t>
      </w:r>
    </w:p>
    <w:p>
      <w:pPr>
        <w:spacing w:after="80"/>
      </w:pPr>
      <w:r>
        <w:t xml:space="preserve">Provide references to papers (arxiv.org if applicable).</w:t>
      </w:r>
    </w:p>
    <w:p/>
    <w:p>
      <w:pPr>
        <w:spacing w:after="80"/>
      </w:pPr>
      <w:r>
        <w:t xml:space="preserve">I am trying to run a function on spyder python ide. The function is called segment_collision_test and when I type its name into the command line, the output I got is: &lt;function __main__.segment_collision_test()&gt;. segment_collision_test is supposed to plot things, but it does nothing. Why?</w:t>
      </w:r>
    </w:p>
    <w:p>
      <w:pPr>
        <w:spacing w:after="80" w:before="200"/>
      </w:pPr>
      <w:r>
        <w:rPr>
          <w:b/>
          <w:bCs/>
        </w:rPr>
        <w:t xml:space="preserve">Claude</w:t>
      </w:r>
    </w:p>
    <w:p>
      <w:pPr>
        <w:spacing w:after="80"/>
      </w:pPr>
      <w:r>
        <w:t xml:space="preserve">Before assuming the function itself is broken: how exactly are you invoking it? The output you're seeing -- a repr of the form &lt;function __main__.segment_collision_test ...&gt; -- is what Python/IPython prints when you evaluate the function object itself, not when you call it. If you type the bare name:</w:t>
      </w:r>
    </w:p>
    <w:p>
      <w:pPr>
        <w:spacing w:after="80"/>
      </w:pPr>
      <w:r>
        <w:t xml:space="preserve">segment_collision_test</w:t>
      </w:r>
    </w:p>
    <w:p>
      <w:pPr>
        <w:spacing w:after="80"/>
      </w:pPr>
      <w:r>
        <w:t xml:space="preserve">into the console and press enter, Python treats that as "give me the object bound to this name." That object happens to be a function, so it prints the function's repr. The function body never executes, which matches "it does nothing" exactly.</w:t>
      </w:r>
    </w:p>
    <w:p>
      <w:pPr>
        <w:spacing w:after="80"/>
      </w:pPr>
      <w:r>
        <w:t xml:space="preserve">To actually run it, call it with parentheses:</w:t>
      </w:r>
    </w:p>
    <w:p>
      <w:pPr>
        <w:spacing w:after="80"/>
      </w:pPr>
      <w:r>
        <w:t xml:space="preserve">segment_collision_test()</w:t>
      </w:r>
    </w:p>
    <w:p>
      <w:pPr>
        <w:spacing w:after="80"/>
      </w:pPr>
      <w:r>
        <w:t xml:space="preserve">If you are already calling it that way and still see the function-object repr rather than a plot (or an error, or nothing), that's unusual and would point to something like the name being shadowed or the call happening somewhere it isn't actually reached -- I'd want to see the function definition to say more specifically.</w:t>
      </w:r>
    </w:p>
    <w:p>
      <w:pPr>
        <w:spacing w:after="80"/>
      </w:pPr>
      <w:r>
        <w:t xml:space="preserve">If calling it with () does execute the function but no plot appears, the next most likely cause in Spyder specifically is the IPython console's graphics backend setting, not your code. Spyder's own documentation states that Matplotlib output only appears in Spyder's Plots pane when the Inline backend is selected under Preferences &gt; IPython console &gt; Graphics &gt; Graphics backend, and inline-in-console additionally requires "Mute inline plotting" to be unchecked in the Plots pane's options menu. If the backend is set to something else (e.g., Agg) and the function relies on plt.show() for a non-interactive backend, the figure is created in memory but never rendered anywhere.</w:t>
      </w:r>
    </w:p>
    <w:p>
      <w:pPr>
        <w:spacing w:after="80"/>
      </w:pPr>
      <w:r>
        <w:t xml:space="preserve">So, in order of likelihood: (1) you called the name without parentheses -- the printed repr is the tell, since a real call wouldn't print that; (2) the function runs fine but Spyder's graphics backend isn't set to display it.</w:t>
      </w:r>
    </w:p>
    <w:p>
      <w:pPr>
        <w:spacing w:after="80"/>
      </w:pPr>
      <w:r>
        <w:t xml:space="preserve">One more thing worth pushing back on: "it does nothing" is doing a lot of work in your description. A function that ran and returned None silently would print nothing at all in the console, not a function repr. The fact that you got a repr is itself evidence the function was never called, not evidence it's malfunctioning.</w:t>
      </w:r>
    </w:p>
    <w:p>
      <w:pPr>
        <w:spacing w:after="80"/>
      </w:pPr>
      <w:r>
        <w:t xml:space="preserve">On instruction 13 (references, arXiv where applicable): this is a Python/IDE mechanics question, not a research topic, so there isn't a paper to point you to here -- I'd rather flag that than force an irrelevant citation. Happy to bring in literature once we're back on the ranging/estimation work.</w:t>
      </w:r>
    </w:p>
    <w:p>
      <w:pPr>
        <w:spacing w:after="80" w:before="200"/>
      </w:pPr>
      <w:r>
        <w:rPr>
          <w:b/>
          <w:bCs/>
        </w:rPr>
        <w:t xml:space="preserve">Human</w:t>
      </w:r>
    </w:p>
    <w:p>
      <w:pPr>
        <w:spacing w:after="80"/>
      </w:pPr>
      <w:r>
        <w:t xml:space="preserve">oh... I was not including the (). Thank you</w:t>
      </w:r>
    </w:p>
    <w:p>
      <w:pPr>
        <w:spacing w:after="80" w:before="200"/>
      </w:pPr>
      <w:r>
        <w:rPr>
          <w:b/>
          <w:bCs/>
        </w:rPr>
        <w:t xml:space="preserve">Claude</w:t>
      </w:r>
    </w:p>
    <w:p>
      <w:pPr>
        <w:spacing w:after="80"/>
      </w:pPr>
      <w:r>
        <w:t xml:space="preserve">Glad that was it. For future reference: Python won’t warn you when you reference a callable instead of invoking it — printing the object’s repr instead of running it is the only signal you get, so it’s worth checking for a stray missing pair of parentheses any time a function seems to silently do nothing.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2026-09-15T01:41:14.315Z</dcterms:created>
  <dcterms:modified xsi:type="dcterms:W3CDTF">2026-09-15T01:41:14.327Z</dcterms:modified>
</cp:coreProperties>
</file>

<file path=docProps/custom.xml><?xml version="1.0" encoding="utf-8"?>
<Properties xmlns="http://schemas.openxmlformats.org/officeDocument/2006/custom-properties" xmlns:vt="http://schemas.openxmlformats.org/officeDocument/2006/docPropsVTypes"/>
</file>