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520" w:val="clear"/>
            <w:tcMar>
              <w:top w:type="dxa" w:w="400"/>
              <w:left w:type="dxa" w:w="300"/>
              <w:bottom w:type="dxa" w:w="400"/>
              <w:right w:type="dxa" w:w="300"/>
            </w:tcMar>
          </w:tcPr>
          <w:p>
            <w:pPr>
              <w:jc w:val="left"/>
            </w:pPr>
            <w:r>
              <w:rPr>
                <w:rFonts w:ascii="Arial" w:cs="Arial" w:eastAsia="Arial" w:hAnsi="Arial"/>
                <w:b/>
                <w:bCs/>
                <w:color w:val="FFFFFF"/>
                <w:sz w:val="52"/>
                <w:szCs w:val="52"/>
              </w:rPr>
              <w:t xml:space="preserve">PROGRAM GUARDIAN</w:t>
            </w:r>
          </w:p>
          <w:p>
            <w:pPr>
              <w:spacing w:before="80"/>
            </w:pPr>
            <w:r>
              <w:rPr>
                <w:rFonts w:ascii="Arial" w:cs="Arial" w:eastAsia="Arial" w:hAnsi="Arial"/>
                <w:b/>
                <w:bCs/>
                <w:color w:val="C9A84C"/>
                <w:sz w:val="28"/>
                <w:szCs w:val="28"/>
              </w:rPr>
              <w:t xml:space="preserve">Scope of Work — Use Case Edition</w:t>
            </w:r>
          </w:p>
          <w:p>
            <w:pPr>
              <w:spacing w:before="80"/>
            </w:pPr>
            <w:r>
              <w:rPr>
                <w:rFonts w:ascii="Arial" w:cs="Arial" w:eastAsia="Arial" w:hAnsi="Arial"/>
                <w:color w:val="5A6A7A"/>
                <w:sz w:val="20"/>
                <w:szCs w:val="20"/>
              </w:rPr>
              <w:t xml:space="preserve">RMS EP&amp;T  |  AI Enterprise Performance Post Hackathon SoW  |  v2  |  March 2026</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520" w:val="clear"/>
            <w:tcMar>
              <w:top w:type="dxa" w:w="160"/>
              <w:left w:type="dxa" w:w="200"/>
              <w:bottom w:type="dxa" w:w="160"/>
              <w:right w:type="dxa" w:w="200"/>
            </w:tcMar>
          </w:tcPr>
          <w:p>
            <w:r>
              <w:rPr>
                <w:rFonts w:ascii="Arial" w:cs="Arial" w:eastAsia="Arial" w:hAnsi="Arial"/>
                <w:b/>
                <w:bCs/>
                <w:color w:val="C9A84C"/>
                <w:sz w:val="28"/>
                <w:szCs w:val="28"/>
              </w:rPr>
              <w:t xml:space="preserve">WHAT PROGRAM GUARDIAN DELIVERS</w:t>
            </w:r>
          </w:p>
          <w:p>
            <w:pPr>
              <w:spacing w:before="60"/>
            </w:pPr>
            <w:r>
              <w:rPr>
                <w:rFonts w:ascii="Arial" w:cs="Arial" w:eastAsia="Arial" w:hAnsi="Arial"/>
                <w:i/>
                <w:iCs/>
                <w:color w:val="FFFFFF"/>
                <w:sz w:val="20"/>
                <w:szCs w:val="20"/>
              </w:rPr>
              <w:t xml:space="preserve">A PM's Guide to the Agent Capabilities</w:t>
            </w:r>
          </w:p>
        </w:tc>
      </w:tr>
    </w:tbl>
    <w:p>
      <w:pPr>
        <w:spacing w:after="160" w:before="0"/>
      </w:pPr>
      <w:r>
        <w:t xml:space="preserve"/>
      </w:r>
    </w:p>
    <w:p>
      <w:pPr>
        <w:spacing w:after="160" w:before="0"/>
        <w:jc w:val="left"/>
      </w:pPr>
      <w:r>
        <w:rPr>
          <w:rFonts w:ascii="Arial" w:cs="Arial" w:eastAsia="Arial" w:hAnsi="Arial"/>
          <w:b w:val="false"/>
          <w:bCs w:val="false"/>
          <w:i/>
          <w:iCs/>
          <w:color w:val="5A6A7A"/>
          <w:sz w:val="22"/>
          <w:szCs w:val="22"/>
        </w:rPr>
        <w:t xml:space="preserve">This section describes what each agent in the Program Guardian ecosystem does — written from the perspective of a program manager. Technical capability details and engineering tasks are in the sections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D1520"/>
                <w:sz w:val="22"/>
                <w:szCs w:val="22"/>
              </w:rPr>
              <w:t xml:space="preserve">BA SUITE</w:t>
            </w:r>
          </w:p>
        </w:tc>
        <w:tc>
          <w:tcPr>
            <w:tcW w:type="dxa" w:w="8360"/>
            <w:tcBorders>
              <w:top w:val="none" w:color="FFFFFF" w:sz="0"/>
              <w:left w:val="none" w:color="FFFFFF" w:sz="0"/>
              <w:bottom w:val="none" w:color="FFFFFF" w:sz="0"/>
              <w:right w:val="none" w:color="FFFFFF" w:sz="0"/>
            </w:tcBorders>
            <w:shd w:fill="1A3A5C" w:val="clear"/>
            <w:tcMar>
              <w:top w:type="dxa" w:w="100"/>
              <w:left w:type="dxa" w:w="160"/>
              <w:bottom w:type="dxa" w:w="100"/>
              <w:right w:type="dxa" w:w="120"/>
            </w:tcMar>
          </w:tcPr>
          <w:p>
            <w:r>
              <w:rPr>
                <w:rFonts w:ascii="Arial" w:cs="Arial" w:eastAsia="Arial" w:hAnsi="Arial"/>
                <w:b/>
                <w:bCs/>
                <w:color w:val="FFFFFF"/>
                <w:sz w:val="26"/>
                <w:szCs w:val="26"/>
              </w:rPr>
              <w:t xml:space="preserve">Business Acumen Suite</w:t>
            </w:r>
          </w:p>
          <w:p>
            <w:pPr>
              <w:spacing w:before="40"/>
            </w:pPr>
            <w:r>
              <w:rPr>
                <w:rFonts w:ascii="Arial" w:cs="Arial" w:eastAsia="Arial" w:hAnsi="Arial"/>
                <w:i/>
                <w:iCs/>
                <w:color w:val="C9A84C"/>
                <w:sz w:val="18"/>
                <w:szCs w:val="18"/>
              </w:rPr>
              <w:t xml:space="preserve">PM-Focused AI Assistance · On Demand, Every Day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Agent Description</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The Business Acumen Suite is your AI-powered program management team — four specialized agents (PM Collaborator, ROADS, RCCA, and CAM Assistant) that answer program questions, surface risks, support corrective actions, and assist CAMs on demand. It is the daily intelligence layer PMs interact with before Guardian ever needs to intervene.</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PM Value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Instead of opening five systems to answer a question about a risk or corrective action, a PM asks a plain-English question and gets a cited, traceable answer grounded in program data — in seconds.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160"/>
              <w:bottom w:type="dxa" w:w="80"/>
              <w:right w:type="dxa" w:w="120"/>
            </w:tcMar>
          </w:tcPr>
          <w:p>
            <w:r>
              <w:rPr>
                <w:rFonts w:ascii="Arial" w:cs="Arial" w:eastAsia="Arial" w:hAnsi="Arial"/>
                <w:b/>
                <w:bCs/>
                <w:color w:val="C9A84C"/>
                <w:sz w:val="20"/>
                <w:szCs w:val="20"/>
              </w:rPr>
              <w:t xml:space="preserve">Phase 1 Release Capabilities  ·  Q2 2026</w:t>
            </w:r>
          </w:p>
        </w:tc>
      </w:tr>
    </w:tbl>
    <w:p>
      <w:pPr>
        <w:spacing w:after="80" w:before="0"/>
      </w:pPr>
      <w:r>
        <w:t xml:space="preserve"/>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PM Collaborator</w:t>
      </w:r>
      <w:r>
        <w:rPr>
          <w:rFonts w:ascii="Arial" w:cs="Arial" w:eastAsia="Arial" w:hAnsi="Arial"/>
          <w:b w:val="false"/>
          <w:bCs w:val="false"/>
          <w:i w:val="false"/>
          <w:iCs w:val="false"/>
          <w:color w:val="1A1A2E"/>
          <w:sz w:val="22"/>
          <w:szCs w:val="22"/>
        </w:rPr>
        <w:t xml:space="preserve"> – Answers day-to-day program management questions: schedule status, action item tracking, key contacts, and process guidance.</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ROADS Risk Assistant</w:t>
      </w:r>
      <w:r>
        <w:rPr>
          <w:rFonts w:ascii="Arial" w:cs="Arial" w:eastAsia="Arial" w:hAnsi="Arial"/>
          <w:b w:val="false"/>
          <w:bCs w:val="false"/>
          <w:i w:val="false"/>
          <w:iCs w:val="false"/>
          <w:color w:val="1A1A2E"/>
          <w:sz w:val="22"/>
          <w:szCs w:val="22"/>
        </w:rPr>
        <w:t xml:space="preserve"> – Surfaces program risks and systemic issues from the ROADS risk register. Answers questions like 'What are our top open risks this month?' with cited data.</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RCCA Assistant</w:t>
      </w:r>
      <w:r>
        <w:rPr>
          <w:rFonts w:ascii="Arial" w:cs="Arial" w:eastAsia="Arial" w:hAnsi="Arial"/>
          <w:b w:val="false"/>
          <w:bCs w:val="false"/>
          <w:i w:val="false"/>
          <w:iCs w:val="false"/>
          <w:color w:val="1A1A2E"/>
          <w:sz w:val="22"/>
          <w:szCs w:val="22"/>
        </w:rPr>
        <w:t xml:space="preserve"> – Supports root cause and corrective action analysis. Helps PMs understand open RCCAs and identify patterns across programs.</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CAM Assistant</w:t>
      </w:r>
      <w:r>
        <w:rPr>
          <w:rFonts w:ascii="Arial" w:cs="Arial" w:eastAsia="Arial" w:hAnsi="Arial"/>
          <w:b w:val="false"/>
          <w:bCs w:val="false"/>
          <w:i w:val="false"/>
          <w:iCs w:val="false"/>
          <w:color w:val="1A1A2E"/>
          <w:sz w:val="22"/>
          <w:szCs w:val="22"/>
        </w:rPr>
        <w:t xml:space="preserve"> – Provides CAMs with earned value and budget intelligence. Answers questions about CPI/SPI, EAC variance, and control account performance.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160"/>
              <w:bottom w:type="dxa" w:w="80"/>
              <w:right w:type="dxa" w:w="120"/>
            </w:tcMar>
          </w:tcPr>
          <w:p>
            <w:r>
              <w:rPr>
                <w:rFonts w:ascii="Arial" w:cs="Arial" w:eastAsia="Arial" w:hAnsi="Arial"/>
                <w:b/>
                <w:bCs/>
                <w:color w:val="C9A84C"/>
                <w:sz w:val="20"/>
                <w:szCs w:val="20"/>
              </w:rPr>
              <w:t xml:space="preserve">Phase 2 Release Capabilities  ·  Q3+ 2026</w:t>
            </w:r>
          </w:p>
        </w:tc>
      </w:tr>
    </w:tbl>
    <w:p>
      <w:pPr>
        <w:spacing w:after="80" w:before="0"/>
      </w:pPr>
      <w:r>
        <w:t xml:space="preserve"/>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All four agents callable by Program Guardian automatically — Guardian routes questions to the right agent and synthesizes responses across domains without PM involvement.</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Cross-agent synthesis — Guardian combines ROADS risk data, CAM financial data, and RCCA corrective actions into a single coherent program health picture.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Proactive alerting — agents push anomalies to Guardian rather than waiting for a PM to ask.</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D1520"/>
                <w:sz w:val="22"/>
                <w:szCs w:val="22"/>
              </w:rPr>
              <w:t xml:space="preserve">GUARDIAN</w:t>
            </w:r>
          </w:p>
        </w:tc>
        <w:tc>
          <w:tcPr>
            <w:tcW w:type="dxa" w:w="8360"/>
            <w:tcBorders>
              <w:top w:val="none" w:color="FFFFFF" w:sz="0"/>
              <w:left w:val="none" w:color="FFFFFF" w:sz="0"/>
              <w:bottom w:val="none" w:color="FFFFFF" w:sz="0"/>
              <w:right w:val="none" w:color="FFFFFF" w:sz="0"/>
            </w:tcBorders>
            <w:shd w:fill="1B2A3B" w:val="clear"/>
            <w:tcMar>
              <w:top w:type="dxa" w:w="100"/>
              <w:left w:type="dxa" w:w="160"/>
              <w:bottom w:type="dxa" w:w="100"/>
              <w:right w:type="dxa" w:w="120"/>
            </w:tcMar>
          </w:tcPr>
          <w:p>
            <w:r>
              <w:rPr>
                <w:rFonts w:ascii="Arial" w:cs="Arial" w:eastAsia="Arial" w:hAnsi="Arial"/>
                <w:b/>
                <w:bCs/>
                <w:color w:val="FFFFFF"/>
                <w:sz w:val="26"/>
                <w:szCs w:val="26"/>
              </w:rPr>
              <w:t xml:space="preserve">Program Guardian</w:t>
            </w:r>
          </w:p>
          <w:p>
            <w:pPr>
              <w:spacing w:before="40"/>
            </w:pPr>
            <w:r>
              <w:rPr>
                <w:rFonts w:ascii="Arial" w:cs="Arial" w:eastAsia="Arial" w:hAnsi="Arial"/>
                <w:i/>
                <w:iCs/>
                <w:color w:val="C9A84C"/>
                <w:sz w:val="18"/>
                <w:szCs w:val="18"/>
              </w:rPr>
              <w:t xml:space="preserve">Always-On Strategic Watchdog · Proactive Program Protection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Agent Description</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Program Guardian is your program's always-on strategic watchdog. It continuously monitors program state across cost, schedule, risk, and contracts — coordinating the BA Suite agents and surfacing what matters most to the PM before issues become problems. It is the difference between reacting to a debook and preventing one.</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PM Value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PM operates at strategic altitude. Guardian handles the data synthesis and coordination overhead — detecting anomalies, routing to the right sub-agent, and presenting the PM with a decision brief or taking a pre-authorized action, all without requiring manual intervention.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C9A84C"/>
                <w:sz w:val="20"/>
                <w:szCs w:val="20"/>
              </w:rPr>
              <w:t xml:space="preserve">Phase 1 Release Capabilities  ·  Q2 2026</w:t>
            </w:r>
          </w:p>
        </w:tc>
      </w:tr>
    </w:tbl>
    <w:p>
      <w:pPr>
        <w:spacing w:after="80" w:before="0"/>
      </w:pPr>
      <w:r>
        <w:t xml:space="preserve"/>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Single PM Portal</w:t>
      </w:r>
      <w:r>
        <w:rPr>
          <w:rFonts w:ascii="Arial" w:cs="Arial" w:eastAsia="Arial" w:hAnsi="Arial"/>
          <w:b w:val="false"/>
          <w:bCs w:val="false"/>
          <w:i w:val="false"/>
          <w:iCs w:val="false"/>
          <w:color w:val="1A1A2E"/>
          <w:sz w:val="22"/>
          <w:szCs w:val="22"/>
        </w:rPr>
        <w:t xml:space="preserve"> – One dashboard showing current program state, pending decisions, and action items across all domains (cost, schedule, risk, contracts).</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Anomaly Detection &amp; Routing</w:t>
      </w:r>
      <w:r>
        <w:rPr>
          <w:rFonts w:ascii="Arial" w:cs="Arial" w:eastAsia="Arial" w:hAnsi="Arial"/>
          <w:b w:val="false"/>
          <w:bCs w:val="false"/>
          <w:i w:val="false"/>
          <w:iCs w:val="false"/>
          <w:color w:val="1A1A2E"/>
          <w:sz w:val="22"/>
          <w:szCs w:val="22"/>
        </w:rPr>
        <w:t xml:space="preserve"> – Guardian detects program anomalies, routes to the appropriate BA Suite sub-agent, and synthesizes findings automatically.</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Pre-Authorized Actions</w:t>
      </w:r>
      <w:r>
        <w:rPr>
          <w:rFonts w:ascii="Arial" w:cs="Arial" w:eastAsia="Arial" w:hAnsi="Arial"/>
          <w:b w:val="false"/>
          <w:bCs w:val="false"/>
          <w:i w:val="false"/>
          <w:iCs w:val="false"/>
          <w:color w:val="1A1A2E"/>
          <w:sz w:val="22"/>
          <w:szCs w:val="22"/>
        </w:rPr>
        <w:t xml:space="preserve"> – For routine actions (CAM reminders, status update requests, meeting scheduling), Guardian executes without PM input — bounded by a configurable policy and logged to an audit trail.</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Decision Briefs</w:t>
      </w:r>
      <w:r>
        <w:rPr>
          <w:rFonts w:ascii="Arial" w:cs="Arial" w:eastAsia="Arial" w:hAnsi="Arial"/>
          <w:b w:val="false"/>
          <w:bCs w:val="false"/>
          <w:i w:val="false"/>
          <w:iCs w:val="false"/>
          <w:color w:val="1A1A2E"/>
          <w:sz w:val="22"/>
          <w:szCs w:val="22"/>
        </w:rPr>
        <w:t xml:space="preserve"> – For actions requiring PM judgment, Guardian generates a structured decision brief delivered via the portal with one-click APPROVE / REJECT / DEFER controls.</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Conversational Program Query</w:t>
      </w:r>
      <w:r>
        <w:rPr>
          <w:rFonts w:ascii="Arial" w:cs="Arial" w:eastAsia="Arial" w:hAnsi="Arial"/>
          <w:b w:val="false"/>
          <w:bCs w:val="false"/>
          <w:i w:val="false"/>
          <w:iCs w:val="false"/>
          <w:color w:val="1A1A2E"/>
          <w:sz w:val="22"/>
          <w:szCs w:val="22"/>
        </w:rPr>
        <w:t xml:space="preserve"> – PMs ask plain-English questions in the portal; Guardian routes to the right agent and returns a cited response.</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Audit Log</w:t>
      </w:r>
      <w:r>
        <w:rPr>
          <w:rFonts w:ascii="Arial" w:cs="Arial" w:eastAsia="Arial" w:hAnsi="Arial"/>
          <w:b w:val="false"/>
          <w:bCs w:val="false"/>
          <w:i w:val="false"/>
          <w:iCs w:val="false"/>
          <w:color w:val="1A1A2E"/>
          <w:sz w:val="22"/>
          <w:szCs w:val="22"/>
        </w:rPr>
        <w:t xml:space="preserve"> – Every Guardian action and decision brief is logged with full context: what triggered it, what was done, who approved it, and when.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C9A84C"/>
                <w:sz w:val="20"/>
                <w:szCs w:val="20"/>
              </w:rPr>
              <w:t xml:space="preserve">Phase 2 Release Capabilities  ·  Q3/Q4 2026</w:t>
            </w:r>
          </w:p>
        </w:tc>
      </w:tr>
    </w:tbl>
    <w:p>
      <w:pPr>
        <w:spacing w:after="80" w:before="0"/>
      </w:pPr>
      <w:r>
        <w:t xml:space="preserve"/>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Expanded Autonomous Action Framework – Additional pre-authorized action types with broader threshold configuration per program.</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PM Approval Workflow (Human-in-the-Loop) – Full escalation and expiry logic: unanswered briefs escalate to a secondary contact or auto-log after a configurable window (default 24h).</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Cross-Program Intelligence – Guardian surfaces patterns across the RMS portfolio, not just individual programs.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Customizable Agent Skills – Programs can configure Guardian's behavior to their specific domains and priorities.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D1520"/>
                <w:sz w:val="22"/>
                <w:szCs w:val="22"/>
              </w:rPr>
              <w:t xml:space="preserve">EXPERT</w:t>
            </w:r>
          </w:p>
        </w:tc>
        <w:tc>
          <w:tcPr>
            <w:tcW w:type="dxa" w:w="8360"/>
            <w:tcBorders>
              <w:top w:val="none" w:color="FFFFFF" w:sz="0"/>
              <w:left w:val="none" w:color="FFFFFF" w:sz="0"/>
              <w:bottom w:val="none" w:color="FFFFFF" w:sz="0"/>
              <w:right w:val="none" w:color="FFFFFF" w:sz="0"/>
            </w:tcBorders>
            <w:shd w:fill="1A3A1A" w:val="clear"/>
            <w:tcMar>
              <w:top w:type="dxa" w:w="100"/>
              <w:left w:type="dxa" w:w="160"/>
              <w:bottom w:type="dxa" w:w="100"/>
              <w:right w:type="dxa" w:w="120"/>
            </w:tcMar>
          </w:tcPr>
          <w:p>
            <w:r>
              <w:rPr>
                <w:rFonts w:ascii="Arial" w:cs="Arial" w:eastAsia="Arial" w:hAnsi="Arial"/>
                <w:b/>
                <w:bCs/>
                <w:color w:val="FFFFFF"/>
                <w:sz w:val="26"/>
                <w:szCs w:val="26"/>
              </w:rPr>
              <w:t xml:space="preserve">Program Expert</w:t>
            </w:r>
          </w:p>
          <w:p>
            <w:pPr>
              <w:spacing w:before="40"/>
            </w:pPr>
            <w:r>
              <w:rPr>
                <w:rFonts w:ascii="Arial" w:cs="Arial" w:eastAsia="Arial" w:hAnsi="Arial"/>
                <w:i/>
                <w:iCs/>
                <w:color w:val="C9A84C"/>
                <w:sz w:val="18"/>
                <w:szCs w:val="18"/>
              </w:rPr>
              <w:t xml:space="preserve">Searchable Program Knowledge Hub · Your Program's Institutional Memory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Agent Description</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The Program Expert is a centralized, searchable knowledge hub that delivers program-specific information — design decisions, configuration baselines, lessons learned, and key contacts — to team members on demand. By making critical program knowledge readily available, it preserves institutional memory, supports seamless handoffs, and enables contributors to make informed decisions well before a program reaches the 'ready' stage of its lifecycle.</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PM Value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Instead of hunting through SharePoint, emailing the previous PM, or waiting for a contracts officer to respond, a PM (or new engineer, or CAM) asks a plain-English question and gets an answer grounded in the program's own documents — with citations showing exactly where the answer came from.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A" w:val="clear"/>
            <w:tcMar>
              <w:top w:type="dxa" w:w="80"/>
              <w:left w:type="dxa" w:w="160"/>
              <w:bottom w:type="dxa" w:w="80"/>
              <w:right w:type="dxa" w:w="120"/>
            </w:tcMar>
          </w:tcPr>
          <w:p>
            <w:r>
              <w:rPr>
                <w:rFonts w:ascii="Arial" w:cs="Arial" w:eastAsia="Arial" w:hAnsi="Arial"/>
                <w:b/>
                <w:bCs/>
                <w:color w:val="C9A84C"/>
                <w:sz w:val="20"/>
                <w:szCs w:val="20"/>
              </w:rPr>
              <w:t xml:space="preserve">Phase 1 Release Capabilities  ·  Q2 anchor / Q3+ scale</w:t>
            </w:r>
          </w:p>
        </w:tc>
      </w:tr>
    </w:tbl>
    <w:p>
      <w:pPr>
        <w:spacing w:after="80" w:before="0"/>
      </w:pPr>
      <w:r>
        <w:t xml:space="preserve"/>
      </w:r>
    </w:p>
    <w:p>
      <w:pPr>
        <w:spacing w:after="120" w:before="0"/>
        <w:jc w:val="left"/>
      </w:pPr>
      <w:r>
        <w:rPr>
          <w:rFonts w:ascii="Arial" w:cs="Arial" w:eastAsia="Arial" w:hAnsi="Arial"/>
          <w:b w:val="false"/>
          <w:bCs w:val="false"/>
          <w:i/>
          <w:iCs/>
          <w:color w:val="5A6A7A"/>
          <w:sz w:val="22"/>
          <w:szCs w:val="22"/>
        </w:rPr>
        <w:t xml:space="preserve">Phase 1 will be developed in stages, with the initial launch of the agent on one or two pilot programs. Capabilities will expand to additional programs through Q3 and beyond.</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Single-Page Web UI with SSO Protection &amp; Analytics Dashboard (via Program Guardian Interface)</w:t>
      </w:r>
      <w:r>
        <w:rPr>
          <w:rFonts w:ascii="Arial" w:cs="Arial" w:eastAsia="Arial" w:hAnsi="Arial"/>
          <w:b w:val="false"/>
          <w:bCs w:val="false"/>
          <w:i w:val="false"/>
          <w:iCs w:val="false"/>
          <w:color w:val="1A1A2E"/>
          <w:sz w:val="22"/>
          <w:szCs w:val="22"/>
        </w:rPr>
        <w:t xml:space="preserve"> – A lightweight, password-protected front-end displaying search results, recommended actions, and a simple analytics pane (search volume, response latency).</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Continuous Knowledge-Base Refresh via Vector-Store Integration</w:t>
      </w:r>
      <w:r>
        <w:rPr>
          <w:rFonts w:ascii="Arial" w:cs="Arial" w:eastAsia="Arial" w:hAnsi="Arial"/>
          <w:b w:val="false"/>
          <w:bCs w:val="false"/>
          <w:i w:val="false"/>
          <w:iCs w:val="false"/>
          <w:color w:val="1A1A2E"/>
          <w:sz w:val="22"/>
          <w:szCs w:val="22"/>
        </w:rPr>
        <w:t xml:space="preserve"> – Leverages vector embeddings to keep the knowledge hub aligned with evolving program documentation, ensuring AI responses reflect the most current information.</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Summarization of Contracts, Customer Information, and Agreements</w:t>
      </w:r>
      <w:r>
        <w:rPr>
          <w:rFonts w:ascii="Arial" w:cs="Arial" w:eastAsia="Arial" w:hAnsi="Arial"/>
          <w:b w:val="false"/>
          <w:bCs w:val="false"/>
          <w:i w:val="false"/>
          <w:iCs w:val="false"/>
          <w:color w:val="1A1A2E"/>
          <w:sz w:val="22"/>
          <w:szCs w:val="22"/>
        </w:rPr>
        <w:t xml:space="preserve"> – Quickly compiles top contractual obligations, customer priorities, and agreed-upon terms into concise briefing material for new or existing team members.</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Contextual Natural-Language Search Across Program Artifacts</w:t>
      </w:r>
      <w:r>
        <w:rPr>
          <w:rFonts w:ascii="Arial" w:cs="Arial" w:eastAsia="Arial" w:hAnsi="Arial"/>
          <w:b w:val="false"/>
          <w:bCs w:val="false"/>
          <w:i w:val="false"/>
          <w:iCs w:val="false"/>
          <w:color w:val="1A1A2E"/>
          <w:sz w:val="22"/>
          <w:szCs w:val="22"/>
        </w:rPr>
        <w:t xml:space="preserve"> – Lets users ask plain-English questions (e.g., 'What are the top 10 contract clauses I should know?') and returns the most relevant documents, design decisions, configuration baselines, or lessons learned.</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Automated Stakeholder Contact Lookup</w:t>
      </w:r>
      <w:r>
        <w:rPr>
          <w:rFonts w:ascii="Arial" w:cs="Arial" w:eastAsia="Arial" w:hAnsi="Arial"/>
          <w:b w:val="false"/>
          <w:bCs w:val="false"/>
          <w:i w:val="false"/>
          <w:iCs w:val="false"/>
          <w:color w:val="1A1A2E"/>
          <w:sz w:val="22"/>
          <w:szCs w:val="22"/>
        </w:rPr>
        <w:t xml:space="preserve"> – Retrieves key program-level contacts (PM, engineering leads, contracts officer, etc.) based on role-specific queries, supporting rapid onboarding and issue escalation.</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Prompt/Interaction Library for Scenario-Based Queries</w:t>
      </w:r>
      <w:r>
        <w:rPr>
          <w:rFonts w:ascii="Arial" w:cs="Arial" w:eastAsia="Arial" w:hAnsi="Arial"/>
          <w:b w:val="false"/>
          <w:bCs w:val="false"/>
          <w:i w:val="false"/>
          <w:iCs w:val="false"/>
          <w:color w:val="1A1A2E"/>
          <w:sz w:val="22"/>
          <w:szCs w:val="22"/>
        </w:rPr>
        <w:t xml:space="preserve"> – Provides a library of pre-crafted prompts (search-by-scenario, contact-lookup, lessons-learned retrieval) that standardize interactions and improve accuracy across users.</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Role-Specific Recommendation Engine</w:t>
      </w:r>
      <w:r>
        <w:rPr>
          <w:rFonts w:ascii="Arial" w:cs="Arial" w:eastAsia="Arial" w:hAnsi="Arial"/>
          <w:b w:val="false"/>
          <w:bCs w:val="false"/>
          <w:i w:val="false"/>
          <w:iCs w:val="false"/>
          <w:color w:val="1A1A2E"/>
          <w:sz w:val="22"/>
          <w:szCs w:val="22"/>
        </w:rPr>
        <w:t xml:space="preserve"> – Supplies tailored information sets for different personas (new PM, new engineer, contracts officer, existing PM) such as top-10 contract facts, next milestone dates, or open INAR actions.</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Real-Time Usage Analytics &amp; Knowledge-Gap Identification</w:t>
      </w:r>
      <w:r>
        <w:rPr>
          <w:rFonts w:ascii="Arial" w:cs="Arial" w:eastAsia="Arial" w:hAnsi="Arial"/>
          <w:b w:val="false"/>
          <w:bCs w:val="false"/>
          <w:i w:val="false"/>
          <w:iCs w:val="false"/>
          <w:color w:val="1A1A2E"/>
          <w:sz w:val="22"/>
          <w:szCs w:val="22"/>
        </w:rPr>
        <w:t xml:space="preserve"> – Tracks search counts, top queries, and unanswered questions, surfacing gaps in the repository and informing continuous improvement of the knowledge 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A" w:val="clear"/>
            <w:tcMar>
              <w:top w:type="dxa" w:w="80"/>
              <w:left w:type="dxa" w:w="160"/>
              <w:bottom w:type="dxa" w:w="80"/>
              <w:right w:type="dxa" w:w="120"/>
            </w:tcMar>
          </w:tcPr>
          <w:p>
            <w:r>
              <w:rPr>
                <w:rFonts w:ascii="Arial" w:cs="Arial" w:eastAsia="Arial" w:hAnsi="Arial"/>
                <w:b/>
                <w:bCs/>
                <w:color w:val="C9A84C"/>
                <w:sz w:val="20"/>
                <w:szCs w:val="20"/>
              </w:rPr>
              <w:t xml:space="preserve">Phase 2 Release Capabilities  ·  Q3+ 2026</w:t>
            </w:r>
          </w:p>
        </w:tc>
      </w:tr>
    </w:tbl>
    <w:p>
      <w:pPr>
        <w:spacing w:after="80" w:before="0"/>
      </w:pPr>
      <w:r>
        <w:t xml:space="preserve"/>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Reusable Program-Expert Hub Template</w:t>
      </w:r>
      <w:r>
        <w:rPr>
          <w:rFonts w:ascii="Arial" w:cs="Arial" w:eastAsia="Arial" w:hAnsi="Arial"/>
          <w:b w:val="false"/>
          <w:bCs w:val="false"/>
          <w:i w:val="false"/>
          <w:iCs w:val="false"/>
          <w:color w:val="1A1A2E"/>
          <w:sz w:val="22"/>
          <w:szCs w:val="22"/>
        </w:rPr>
        <w:t xml:space="preserve"> – Packages ingestion scripts, prompt library, UI components, and deployment instructions into a version-controlled template that can be instantiated for any new program with minimal effort.</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Automatic Ingestion, Indexing, and Continuous Updating</w:t>
      </w:r>
      <w:r>
        <w:rPr>
          <w:rFonts w:ascii="Arial" w:cs="Arial" w:eastAsia="Arial" w:hAnsi="Arial"/>
          <w:b w:val="false"/>
          <w:bCs w:val="false"/>
          <w:i w:val="false"/>
          <w:iCs w:val="false"/>
          <w:color w:val="1A1A2E"/>
          <w:sz w:val="22"/>
          <w:szCs w:val="22"/>
        </w:rPr>
        <w:t xml:space="preserve"> – Continuously pulls new artifacts (meeting minutes, design docs, JIRA tickets, SharePoint files) into a vector store, automatically re-indexing so the latest information is always searchable.</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Integration with Existing LM Tools &amp; Data Silos</w:t>
      </w:r>
      <w:r>
        <w:rPr>
          <w:rFonts w:ascii="Arial" w:cs="Arial" w:eastAsia="Arial" w:hAnsi="Arial"/>
          <w:b w:val="false"/>
          <w:bCs w:val="false"/>
          <w:i w:val="false"/>
          <w:iCs w:val="false"/>
          <w:color w:val="1A1A2E"/>
          <w:sz w:val="22"/>
          <w:szCs w:val="22"/>
        </w:rPr>
        <w:t xml:space="preserve"> – Connects to PMM, ROADS, VEMO, EyeSuite, Command Media, JIRA, Confluence, SharePoint, S3, SAP-Cobra, and other repositories, allowing the agent to surface data from any program system in one place.</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Program-Performance Data Aggregation</w:t>
      </w:r>
      <w:r>
        <w:rPr>
          <w:rFonts w:ascii="Arial" w:cs="Arial" w:eastAsia="Arial" w:hAnsi="Arial"/>
          <w:b w:val="false"/>
          <w:bCs w:val="false"/>
          <w:i w:val="false"/>
          <w:iCs w:val="false"/>
          <w:color w:val="1A1A2E"/>
          <w:sz w:val="22"/>
          <w:szCs w:val="22"/>
        </w:rPr>
        <w:t xml:space="preserve"> – Consolidates financial, schedule, and execution indices into a single view that can be queried for 'what drove the variance this month?' or 'where are we trending on schedule vs. budget?'</w:t>
      </w:r>
    </w:p>
    <w:p>
      <w:pPr>
        <w:pStyle w:val="ListParagraph"/>
        <w:numPr>
          <w:ilvl w:val="0"/>
          <w:numId w:val="2"/>
        </w:numPr>
        <w:spacing w:after="100" w:before="0"/>
        <w:jc w:val="left"/>
      </w:pPr>
      <w:r>
        <w:rPr>
          <w:rFonts w:ascii="Arial" w:cs="Arial" w:eastAsia="Arial" w:hAnsi="Arial"/>
          <w:b/>
          <w:bCs/>
          <w:i w:val="false"/>
          <w:iCs w:val="false"/>
          <w:color w:val="1A1A2E"/>
          <w:sz w:val="22"/>
          <w:szCs w:val="22"/>
          <w:u w:val="single"/>
        </w:rPr>
        <w:t xml:space="preserve">AI-Driven 'What-If' &amp; Causal-Inference Decision Support</w:t>
      </w:r>
      <w:r>
        <w:rPr>
          <w:rFonts w:ascii="Arial" w:cs="Arial" w:eastAsia="Arial" w:hAnsi="Arial"/>
          <w:b w:val="false"/>
          <w:bCs w:val="false"/>
          <w:i w:val="false"/>
          <w:iCs w:val="false"/>
          <w:color w:val="1A1A2E"/>
          <w:sz w:val="22"/>
          <w:szCs w:val="22"/>
        </w:rPr>
        <w:t xml:space="preserve"> – Uses a Bayesian-network-style model to evaluate hypothetical actions across five inter-dependent domains (financial, performance, technical, stakeholder, staffing), presenting trade-off scenarios and probability-based outcomes.</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520" w:val="clear"/>
            <w:tcMar>
              <w:top w:type="dxa" w:w="120"/>
              <w:left w:type="dxa" w:w="200"/>
              <w:bottom w:type="dxa" w:w="120"/>
              <w:right w:type="dxa" w:w="200"/>
            </w:tcMar>
          </w:tcPr>
          <w:p>
            <w:r>
              <w:rPr>
                <w:rFonts w:ascii="Arial" w:cs="Arial" w:eastAsia="Arial" w:hAnsi="Arial"/>
                <w:b/>
                <w:bCs/>
                <w:color w:val="C9A84C"/>
                <w:sz w:val="24"/>
                <w:szCs w:val="24"/>
              </w:rPr>
              <w:t xml:space="preserve">PURPOSE &amp; STRUCTURE</w:t>
            </w:r>
          </w:p>
        </w:tc>
      </w:tr>
    </w:tbl>
    <w:p>
      <w:pPr>
        <w:spacing w:after="160" w:before="0"/>
      </w:pPr>
      <w:r>
        <w:t xml:space="preserve"/>
      </w:r>
    </w:p>
    <w:p>
      <w:pPr>
        <w:spacing w:after="160" w:before="0"/>
        <w:jc w:val="left"/>
      </w:pPr>
      <w:r>
        <w:rPr>
          <w:rFonts w:ascii="Arial" w:cs="Arial" w:eastAsia="Arial" w:hAnsi="Arial"/>
          <w:b w:val="false"/>
          <w:bCs w:val="false"/>
          <w:i w:val="false"/>
          <w:iCs w:val="false"/>
          <w:color w:val="1A1A2E"/>
          <w:sz w:val="22"/>
          <w:szCs w:val="22"/>
        </w:rPr>
        <w:t xml:space="preserve">This scope of work defines what Program Guardian will deliver, organized around the use cases and components that will be built. The underlying technical capabilities are in the appendix. Each task represents a deployable component with clear business value, dependencies,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F2E" w:sz="3"/>
              <w:left w:val="single" w:color="C9A84C" w:sz="6"/>
              <w:bottom w:val="single" w:color="CCCCCC" w:sz="1"/>
              <w:right w:val="none"/>
            </w:tcBorders>
            <w:shd w:fill="F2F4F7" w:val="clear"/>
            <w:tcMar>
              <w:top w:type="dxa" w:w="100"/>
              <w:left w:type="dxa" w:w="160"/>
              <w:bottom w:type="dxa" w:w="100"/>
              <w:right w:type="dxa" w:w="120"/>
            </w:tcMar>
          </w:tcPr>
          <w:p>
            <w:r>
              <w:rPr>
                <w:rFonts w:ascii="Arial" w:cs="Arial" w:eastAsia="Arial" w:hAnsi="Arial"/>
                <w:i/>
                <w:iCs/>
                <w:color w:val="5A6A7A"/>
                <w:sz w:val="20"/>
                <w:szCs w:val="20"/>
              </w:rPr>
              <w:t xml:space="preserve">Core Capabilities (ADK Orchestrator, A2A/MCP, Portal, RAG Integration, Autonomous Actions, PM Approval Workflow) are detailed in Appendix A. Each task section references the specific capabilities it requires.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2600"/>
        <w:gridCol w:w="2000"/>
      </w:tblGrid>
      <w:tr>
        <w:trPr>
          <w:tblHeader/>
        </w:trPr>
        <w:tc>
          <w:tcPr>
            <w:tcW w:type="dxa" w:w="1200"/>
            <w:tcBorders>
              <w:top w:val="single" w:color="CCCCCC" w:sz="1"/>
              <w:left w:val="single" w:color="CCCCCC" w:sz="1"/>
              <w:bottom w:val="single" w:color="CCCCCC" w:sz="1"/>
              <w:right w:val="single" w:color="CCCCCC" w:sz="1"/>
            </w:tcBorders>
            <w:shd w:fill="0D152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0D15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0D152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000"/>
            <w:tcBorders>
              <w:top w:val="single" w:color="CCCCCC" w:sz="1"/>
              <w:left w:val="single" w:color="CCCCCC" w:sz="1"/>
              <w:bottom w:val="single" w:color="CCCCCC" w:sz="1"/>
              <w:right w:val="single" w:color="CCCCCC" w:sz="1"/>
            </w:tcBorders>
            <w:shd w:fill="0D1520"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2E"/>
                <w:sz w:val="20"/>
                <w:szCs w:val="20"/>
              </w:rPr>
              <w:t xml:space="preserve">TASK 1</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Business Acumen Suite</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(Initial Release)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Q2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TASK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Program Guardian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(Initial Release)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Q2 2026</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2E"/>
                <w:sz w:val="20"/>
                <w:szCs w:val="20"/>
              </w:rPr>
              <w:t xml:space="preserve">TASK 3</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Program Expert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(Initial Release)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Q2/Q3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TASK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Program Health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Parallel (Incremental)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Q3 2026</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2E"/>
                <w:sz w:val="20"/>
                <w:szCs w:val="20"/>
              </w:rPr>
              <w:t xml:space="preserve">TASK 5</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PRISM — Systemic Issue Auto.</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Parallel (Incremental)</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Q3/Q4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TASK 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Augmented Independent 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Parallel (Incremental)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Q4 2026</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520" w:val="clear"/>
            <w:tcMar>
              <w:top w:type="dxa" w:w="100"/>
              <w:left w:type="dxa" w:w="200"/>
              <w:bottom w:type="dxa" w:w="100"/>
              <w:right w:type="dxa" w:w="200"/>
            </w:tcMar>
          </w:tcPr>
          <w:p>
            <w:r>
              <w:rPr>
                <w:rFonts w:ascii="Arial" w:cs="Arial" w:eastAsia="Arial" w:hAnsi="Arial"/>
                <w:b/>
                <w:bCs/>
                <w:color w:val="FFFFFF"/>
                <w:sz w:val="24"/>
                <w:szCs w:val="24"/>
              </w:rPr>
              <w:t xml:space="preserve">INITIAL RELEASES — MAIN BRANCH</w:t>
            </w:r>
          </w:p>
        </w:tc>
      </w:tr>
    </w:tbl>
    <w:p>
      <w:pPr>
        <w:spacing w:after="80" w:before="0"/>
      </w:pPr>
      <w:r>
        <w:t xml:space="preserve"/>
      </w:r>
    </w:p>
    <w:p>
      <w:pPr>
        <w:spacing w:after="120" w:before="0"/>
        <w:jc w:val="left"/>
      </w:pPr>
      <w:r>
        <w:rPr>
          <w:rFonts w:ascii="Arial" w:cs="Arial" w:eastAsia="Arial" w:hAnsi="Arial"/>
          <w:b w:val="false"/>
          <w:bCs w:val="false"/>
          <w:i/>
          <w:iCs/>
          <w:color w:val="5A6A7A"/>
          <w:sz w:val="22"/>
          <w:szCs w:val="22"/>
        </w:rPr>
        <w:t xml:space="preserve">Program Guardian · Business Acumen Suite · Program Expert  |  Must be built sequentially given some dependencies; some overlap encouraged.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vAlign w:val="center"/>
          </w:tcPr>
          <w:p>
            <w:pPr>
              <w:jc w:val="center"/>
            </w:pPr>
            <w:r>
              <w:rPr>
                <w:rFonts w:ascii="Arial" w:cs="Arial" w:eastAsia="Arial" w:hAnsi="Arial"/>
                <w:b/>
                <w:bCs/>
                <w:color w:val="0D1520"/>
                <w:sz w:val="16"/>
                <w:szCs w:val="16"/>
              </w:rPr>
              <w:t xml:space="preserve">TASK</w:t>
            </w:r>
          </w:p>
          <w:p>
            <w:pPr>
              <w:jc w:val="center"/>
            </w:pPr>
            <w:r>
              <w:rPr>
                <w:rFonts w:ascii="Arial" w:cs="Arial" w:eastAsia="Arial" w:hAnsi="Arial"/>
                <w:b/>
                <w:bCs/>
                <w:color w:val="0D1520"/>
                <w:sz w:val="22"/>
                <w:szCs w:val="22"/>
              </w:rPr>
              <w:t xml:space="preserve">1</w:t>
            </w:r>
          </w:p>
        </w:tc>
        <w:tc>
          <w:tcPr>
            <w:tcW w:type="dxa" w:w="84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FFFFFF"/>
                <w:sz w:val="26"/>
                <w:szCs w:val="26"/>
              </w:rPr>
              <w:t xml:space="preserve">Business Acumen Suite  </w:t>
            </w:r>
            <w:r>
              <w:rPr>
                <w:rFonts w:ascii="Arial" w:cs="Arial" w:eastAsia="Arial" w:hAnsi="Arial"/>
                <w:b/>
                <w:bCs/>
                <w:color w:val="C9A84C"/>
                <w:sz w:val="22"/>
                <w:szCs w:val="22"/>
              </w:rPr>
              <w:t xml:space="preserve">Q2 2026</w:t>
            </w:r>
          </w:p>
          <w:p>
            <w:pPr>
              <w:spacing w:before="40"/>
            </w:pPr>
            <w:r>
              <w:rPr>
                <w:rFonts w:ascii="Arial" w:cs="Arial" w:eastAsia="Arial" w:hAnsi="Arial"/>
                <w:i/>
                <w:iCs/>
                <w:color w:val="5A6A7A"/>
                <w:sz w:val="18"/>
                <w:szCs w:val="18"/>
              </w:rPr>
              <w:t xml:space="preserve">4 agents in production via Genesis  |  ADK orchestration near complete  |  Needs review and deployment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Role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Lead Agent layer — PM-focused sub-agents providing day-to-day program management AI assistance. The four agents (PM Collaborator, ROADS, RCCA, CAM) form the primary user-facing AI capability and the first sub-agent layer that Program Guardian will orchestrate.</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Objective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Complete ADK integration and deploy the Business Acumen Suite as the first registered sub-agent group under Program Guardian. Establish the A2A/MCP interface contract that all future sub-agents will follow.</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Current State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4 agents in production via Genesis (internal LM AI platform). ADK orchestration layer near complete. Agents need to be wrapped as ADK AgentTools, registered in the sub-agent registry, and validated end-to-end with Guardian as the orchestrating caller.</w:t>
            </w:r>
          </w:p>
        </w:tc>
      </w:tr>
    </w:tbl>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Business Value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Immediate PM productivity gains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Establishes the sub-agent interface standard (allowing for future agent onboarding)</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PM Collaborator, ROADS, RCCA, and CAM agents provide direct program knowledge continuity around job roles and business processes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Foundation for Guardian's cross-domain synthesis — BA Suite is the first domain data source</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Key Dependencies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ADK Orchestrator Agent (CAP-01) must be initialized before BA Suite agents can be deployed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A2A/MCP interface contract (CAP-02) must be defined before agent wrapping begins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Each BA Suite agent must expose a standardized tool manifest and health check endpoint</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Deliverables</w:t>
      </w:r>
    </w:p>
    <w:p>
      <w:pPr>
        <w:pStyle w:val="ListParagraph"/>
        <w:numPr>
          <w:ilvl w:val="0"/>
          <w:numId w:val="3"/>
        </w:numPr>
        <w:spacing w:after="100" w:before="0"/>
      </w:pPr>
      <w:r>
        <w:rPr>
          <w:rFonts w:ascii="Arial" w:cs="Arial" w:eastAsia="Arial" w:hAnsi="Arial"/>
          <w:color w:val="1A1A2E"/>
          <w:sz w:val="22"/>
          <w:szCs w:val="22"/>
        </w:rPr>
        <w:t xml:space="preserve">All 4 BA Suite agents wrapped as ADK AgentTools with validated tool manifests</w:t>
      </w:r>
    </w:p>
    <w:p>
      <w:pPr>
        <w:pStyle w:val="ListParagraph"/>
        <w:numPr>
          <w:ilvl w:val="0"/>
          <w:numId w:val="3"/>
        </w:numPr>
        <w:spacing w:after="100" w:before="0"/>
      </w:pPr>
      <w:r>
        <w:rPr>
          <w:rFonts w:ascii="Arial" w:cs="Arial" w:eastAsia="Arial" w:hAnsi="Arial"/>
          <w:color w:val="1A1A2E"/>
          <w:sz w:val="22"/>
          <w:szCs w:val="22"/>
        </w:rPr>
        <w:t xml:space="preserve">BA Suite registered in Guardian's sub-agent registry with routing rules</w:t>
      </w:r>
    </w:p>
    <w:p>
      <w:pPr>
        <w:pStyle w:val="ListParagraph"/>
        <w:numPr>
          <w:ilvl w:val="0"/>
          <w:numId w:val="3"/>
        </w:numPr>
        <w:spacing w:after="100" w:before="0"/>
      </w:pPr>
      <w:r>
        <w:rPr>
          <w:rFonts w:ascii="Arial" w:cs="Arial" w:eastAsia="Arial" w:hAnsi="Arial"/>
          <w:color w:val="1A1A2E"/>
          <w:sz w:val="22"/>
          <w:szCs w:val="22"/>
        </w:rPr>
        <w:t xml:space="preserve">End-to-end integration test: Guardian calls PM Collaborator and ROADS agent, receives structured responses</w:t>
      </w:r>
    </w:p>
    <w:p>
      <w:pPr>
        <w:pStyle w:val="ListParagraph"/>
        <w:numPr>
          <w:ilvl w:val="0"/>
          <w:numId w:val="3"/>
        </w:numPr>
        <w:spacing w:after="100" w:before="0"/>
      </w:pPr>
      <w:r>
        <w:rPr>
          <w:rFonts w:ascii="Arial" w:cs="Arial" w:eastAsia="Arial" w:hAnsi="Arial"/>
          <w:color w:val="1A1A2E"/>
          <w:sz w:val="22"/>
          <w:szCs w:val="22"/>
        </w:rPr>
        <w:t xml:space="preserve">Deployment to production environment with monitoring enabled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6"/>
              <w:bottom w:val="none" w:color="FFFFFF" w:sz="0"/>
              <w:right w:val="none" w:color="FFFFFF" w:sz="0"/>
            </w:tcBorders>
            <w:shd w:fill="F2F4F7" w:val="clear"/>
            <w:tcMar>
              <w:top w:type="dxa" w:w="60"/>
              <w:left w:type="dxa" w:w="120"/>
              <w:bottom w:type="dxa" w:w="60"/>
              <w:right w:type="dxa" w:w="80"/>
            </w:tcMar>
          </w:tcPr>
          <w:p>
            <w:r>
              <w:rPr>
                <w:rFonts w:ascii="Arial" w:cs="Arial" w:eastAsia="Arial" w:hAnsi="Arial"/>
                <w:i/>
                <w:iCs/>
                <w:color w:val="5A6A7A"/>
                <w:sz w:val="18"/>
                <w:szCs w:val="18"/>
              </w:rPr>
              <w:t xml:space="preserve">→  Core Capabilities Required:  CAP-01  ·  CAP-02  (see Appendix 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F2E" w:sz="1"/>
              <w:left w:val="single" w:color="8A6F2E" w:sz="1"/>
              <w:bottom w:val="single" w:color="8A6F2E" w:sz="1"/>
              <w:right w:val="single" w:color="8A6F2E" w:sz="1"/>
            </w:tcBorders>
            <w:shd w:fill="FEFAE8" w:val="clear"/>
            <w:tcMar>
              <w:top w:type="dxa" w:w="80"/>
              <w:left w:type="dxa" w:w="120"/>
              <w:bottom w:type="dxa" w:w="80"/>
              <w:right w:type="dxa" w:w="120"/>
            </w:tcMar>
          </w:tcPr>
          <w:p>
            <w:r>
              <w:rPr>
                <w:rFonts w:ascii="Arial" w:cs="Arial" w:eastAsia="Arial" w:hAnsi="Arial"/>
                <w:b/>
                <w:bCs/>
                <w:color w:val="1A1A2E"/>
                <w:sz w:val="20"/>
                <w:szCs w:val="20"/>
                <w:u w:val="single"/>
              </w:rPr>
              <w:t xml:space="preserve">✓  Acceptance Criteria</w:t>
            </w:r>
          </w:p>
          <w:p>
            <w:pPr>
              <w:spacing w:before="60"/>
            </w:pPr>
            <w:r>
              <w:rPr>
                <w:rFonts w:ascii="Arial" w:cs="Arial" w:eastAsia="Arial" w:hAnsi="Arial"/>
                <w:color w:val="1A1A2E"/>
                <w:sz w:val="20"/>
                <w:szCs w:val="20"/>
              </w:rPr>
              <w:t xml:space="preserve">All 4 BA Suite agents callable by Guardian via A2A protocol. Guardian successfully routes a risk-related query to the ROADS agent and a PM question to PM Collaborator, receiving structured responses both times. Deployed and available to those in Business Acumen AD group.</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vAlign w:val="center"/>
          </w:tcPr>
          <w:p>
            <w:pPr>
              <w:jc w:val="center"/>
            </w:pPr>
            <w:r>
              <w:rPr>
                <w:rFonts w:ascii="Arial" w:cs="Arial" w:eastAsia="Arial" w:hAnsi="Arial"/>
                <w:b/>
                <w:bCs/>
                <w:color w:val="0D1520"/>
                <w:sz w:val="16"/>
                <w:szCs w:val="16"/>
              </w:rPr>
              <w:t xml:space="preserve">TASK</w:t>
            </w:r>
          </w:p>
          <w:p>
            <w:pPr>
              <w:jc w:val="center"/>
            </w:pPr>
            <w:r>
              <w:rPr>
                <w:rFonts w:ascii="Arial" w:cs="Arial" w:eastAsia="Arial" w:hAnsi="Arial"/>
                <w:b/>
                <w:bCs/>
                <w:color w:val="0D1520"/>
                <w:sz w:val="22"/>
                <w:szCs w:val="22"/>
              </w:rPr>
              <w:t xml:space="preserve">2</w:t>
            </w:r>
          </w:p>
        </w:tc>
        <w:tc>
          <w:tcPr>
            <w:tcW w:type="dxa" w:w="84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FFFFFF"/>
                <w:sz w:val="26"/>
                <w:szCs w:val="26"/>
              </w:rPr>
              <w:t xml:space="preserve">Program Guardian  </w:t>
            </w:r>
            <w:r>
              <w:rPr>
                <w:rFonts w:ascii="Arial" w:cs="Arial" w:eastAsia="Arial" w:hAnsi="Arial"/>
                <w:b/>
                <w:bCs/>
                <w:color w:val="C9A84C"/>
                <w:sz w:val="22"/>
                <w:szCs w:val="22"/>
              </w:rPr>
              <w:t xml:space="preserve">Q2 2026</w:t>
            </w:r>
          </w:p>
          <w:p>
            <w:pPr>
              <w:spacing w:before="40"/>
            </w:pPr>
            <w:r>
              <w:rPr>
                <w:rFonts w:ascii="Arial" w:cs="Arial" w:eastAsia="Arial" w:hAnsi="Arial"/>
                <w:i/>
                <w:iCs/>
                <w:color w:val="5A6A7A"/>
                <w:sz w:val="18"/>
                <w:szCs w:val="18"/>
              </w:rPr>
              <w:t xml:space="preserve">Needs active development (Google ADK)  |  Lead Orchestrator + Portal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Role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Lead Orchestrator and Portal. Program Guardian is the central intelligence layer — it monitors program state continuously, coordinates sub-agents, synthesizes cross-domain findings, and surfaces actionable intelligence to the PM. It is beyond chatbot; it is an autonomous agent workflow system.</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Objective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Deliver a functioning Program Guardian orchestrator with a live PM portal, connected to the Business Acumen Suite via A2A protocol, capable of ingesting events, routing tasks, and presenting synthesized program state to the PM. Modular architecture that is able to accommodate future agents in this SoW and beyond in future dates.</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Current State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Core ADK agent architecture in development via BA suite in task one. Orchestration event loop, state model, and sub-agent registry needs to be built on top of the BA suite. Portal UI not yet started. A2A/MCP protocol definition underway.</w:t>
            </w:r>
          </w:p>
        </w:tc>
      </w:tr>
    </w:tbl>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Business Value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Moves RMS programs from reactive oversight to predictive program protection</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PM operates at strategic altitude — Guardian handles data synthesis and coordination overhead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Single portal for cross-domain program health: cost, schedule, risk, contracts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Enables pre-authorized autonomous actions — CAM reminders, status requests, task reminders or creation — without PM intervention</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Positions RMS as a leader in AI-native program management</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Key Dependencies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Task 1 (BA Suite) must be registered before Guardian can demonstrate end-to-end orchestration</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A2A/MCP protocol (CAP-02) must be finalized before sub-agent registry is populated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Guardian Portal (CAP-03) development can begin in parallel with orchestrator build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Pre-Authorized Action Framework (CAP-05) and PM Approval Workflow (CAP-06) follow after core orchestrator is stable</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Deliverables</w:t>
      </w:r>
    </w:p>
    <w:p>
      <w:pPr>
        <w:pStyle w:val="ListParagraph"/>
        <w:numPr>
          <w:ilvl w:val="0"/>
          <w:numId w:val="3"/>
        </w:numPr>
        <w:spacing w:after="100" w:before="0"/>
      </w:pPr>
      <w:r>
        <w:rPr>
          <w:rFonts w:ascii="Arial" w:cs="Arial" w:eastAsia="Arial" w:hAnsi="Arial"/>
          <w:color w:val="1A1A2E"/>
          <w:sz w:val="22"/>
          <w:szCs w:val="22"/>
        </w:rPr>
        <w:t xml:space="preserve">Guardian orchestrator live with event ingestion, priority queue, and program state model</w:t>
      </w:r>
    </w:p>
    <w:p>
      <w:pPr>
        <w:pStyle w:val="ListParagraph"/>
        <w:numPr>
          <w:ilvl w:val="0"/>
          <w:numId w:val="3"/>
        </w:numPr>
        <w:spacing w:after="100" w:before="0"/>
      </w:pPr>
      <w:r>
        <w:rPr>
          <w:rFonts w:ascii="Arial" w:cs="Arial" w:eastAsia="Arial" w:hAnsi="Arial"/>
          <w:color w:val="1A1A2E"/>
          <w:sz w:val="22"/>
          <w:szCs w:val="22"/>
        </w:rPr>
        <w:t xml:space="preserve">Sub-agent registry operational with BA Suite agents registered and routable</w:t>
      </w:r>
    </w:p>
    <w:p>
      <w:pPr>
        <w:pStyle w:val="ListParagraph"/>
        <w:numPr>
          <w:ilvl w:val="0"/>
          <w:numId w:val="3"/>
        </w:numPr>
        <w:spacing w:after="100" w:before="0"/>
      </w:pPr>
      <w:r>
        <w:rPr>
          <w:rFonts w:ascii="Arial" w:cs="Arial" w:eastAsia="Arial" w:hAnsi="Arial"/>
          <w:color w:val="1A1A2E"/>
          <w:sz w:val="22"/>
          <w:szCs w:val="22"/>
        </w:rPr>
        <w:t xml:space="preserve">Guardian Portal deployed (allowing or accommodating connections to other apps later like program health or PRISM): conversational query interface</w:t>
      </w:r>
    </w:p>
    <w:p>
      <w:pPr>
        <w:pStyle w:val="ListParagraph"/>
        <w:numPr>
          <w:ilvl w:val="0"/>
          <w:numId w:val="3"/>
        </w:numPr>
        <w:spacing w:after="100" w:before="0"/>
      </w:pPr>
      <w:r>
        <w:rPr>
          <w:rFonts w:ascii="Arial" w:cs="Arial" w:eastAsia="Arial" w:hAnsi="Arial"/>
          <w:color w:val="1A1A2E"/>
          <w:sz w:val="22"/>
          <w:szCs w:val="22"/>
        </w:rPr>
        <w:t xml:space="preserve">Pre-authorized autonomous actions live for at least 3 action types (CAM reminder, status request, meeting schedule)</w:t>
      </w:r>
    </w:p>
    <w:p>
      <w:pPr>
        <w:pStyle w:val="ListParagraph"/>
        <w:numPr>
          <w:ilvl w:val="0"/>
          <w:numId w:val="3"/>
        </w:numPr>
        <w:spacing w:after="100" w:before="0"/>
      </w:pPr>
      <w:r>
        <w:rPr>
          <w:rFonts w:ascii="Arial" w:cs="Arial" w:eastAsia="Arial" w:hAnsi="Arial"/>
          <w:color w:val="1A1A2E"/>
          <w:sz w:val="22"/>
          <w:szCs w:val="22"/>
        </w:rPr>
        <w:t xml:space="preserve">PM Approval Workflow operational for actions requiring human judgment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6"/>
              <w:bottom w:val="none" w:color="FFFFFF" w:sz="0"/>
              <w:right w:val="none" w:color="FFFFFF" w:sz="0"/>
            </w:tcBorders>
            <w:shd w:fill="F2F4F7" w:val="clear"/>
            <w:tcMar>
              <w:top w:type="dxa" w:w="60"/>
              <w:left w:type="dxa" w:w="120"/>
              <w:bottom w:type="dxa" w:w="60"/>
              <w:right w:type="dxa" w:w="80"/>
            </w:tcMar>
          </w:tcPr>
          <w:p>
            <w:r>
              <w:rPr>
                <w:rFonts w:ascii="Arial" w:cs="Arial" w:eastAsia="Arial" w:hAnsi="Arial"/>
                <w:i/>
                <w:iCs/>
                <w:color w:val="5A6A7A"/>
                <w:sz w:val="18"/>
                <w:szCs w:val="18"/>
              </w:rPr>
              <w:t xml:space="preserve">→  Core Capabilities Required:  CAP-01  ·  CAP-02  ·  CAP-03  ·  CAP-05  ·  CAP-06  (see Appendix 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F2E" w:sz="1"/>
              <w:left w:val="single" w:color="8A6F2E" w:sz="1"/>
              <w:bottom w:val="single" w:color="8A6F2E" w:sz="1"/>
              <w:right w:val="single" w:color="8A6F2E" w:sz="1"/>
            </w:tcBorders>
            <w:shd w:fill="FEFAE8" w:val="clear"/>
            <w:tcMar>
              <w:top w:type="dxa" w:w="80"/>
              <w:left w:type="dxa" w:w="120"/>
              <w:bottom w:type="dxa" w:w="80"/>
              <w:right w:type="dxa" w:w="120"/>
            </w:tcMar>
          </w:tcPr>
          <w:p>
            <w:r>
              <w:rPr>
                <w:rFonts w:ascii="Arial" w:cs="Arial" w:eastAsia="Arial" w:hAnsi="Arial"/>
                <w:b/>
                <w:bCs/>
                <w:color w:val="1A1A2E"/>
                <w:sz w:val="20"/>
                <w:szCs w:val="20"/>
                <w:u w:val="single"/>
              </w:rPr>
              <w:t xml:space="preserve">✓  Acceptance Criteria</w:t>
            </w:r>
          </w:p>
          <w:p>
            <w:pPr>
              <w:spacing w:before="60"/>
            </w:pPr>
            <w:r>
              <w:rPr>
                <w:rFonts w:ascii="Arial" w:cs="Arial" w:eastAsia="Arial" w:hAnsi="Arial"/>
                <w:color w:val="1A1A2E"/>
                <w:sz w:val="20"/>
                <w:szCs w:val="20"/>
              </w:rPr>
              <w:t xml:space="preserve">Guardian orchestrator live, BA Suite connected, Portal accessible by PM. Guardian detects a mock anomaly, routes to appropriate sub-agent, synthesizes findings, and either executes a pre-authorized action or surfaces a decision brief to the PM.</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vAlign w:val="center"/>
          </w:tcPr>
          <w:p>
            <w:pPr>
              <w:jc w:val="center"/>
            </w:pPr>
            <w:r>
              <w:rPr>
                <w:rFonts w:ascii="Arial" w:cs="Arial" w:eastAsia="Arial" w:hAnsi="Arial"/>
                <w:b/>
                <w:bCs/>
                <w:color w:val="0D1520"/>
                <w:sz w:val="16"/>
                <w:szCs w:val="16"/>
              </w:rPr>
              <w:t xml:space="preserve">TASK</w:t>
            </w:r>
          </w:p>
          <w:p>
            <w:pPr>
              <w:jc w:val="center"/>
            </w:pPr>
            <w:r>
              <w:rPr>
                <w:rFonts w:ascii="Arial" w:cs="Arial" w:eastAsia="Arial" w:hAnsi="Arial"/>
                <w:b/>
                <w:bCs/>
                <w:color w:val="0D1520"/>
                <w:sz w:val="22"/>
                <w:szCs w:val="22"/>
              </w:rPr>
              <w:t xml:space="preserve">3</w:t>
            </w:r>
          </w:p>
        </w:tc>
        <w:tc>
          <w:tcPr>
            <w:tcW w:type="dxa" w:w="84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FFFFFF"/>
                <w:sz w:val="26"/>
                <w:szCs w:val="26"/>
              </w:rPr>
              <w:t xml:space="preserve">Program Expert  </w:t>
            </w:r>
            <w:r>
              <w:rPr>
                <w:rFonts w:ascii="Arial" w:cs="Arial" w:eastAsia="Arial" w:hAnsi="Arial"/>
                <w:b/>
                <w:bCs/>
                <w:color w:val="C9A84C"/>
                <w:sz w:val="22"/>
                <w:szCs w:val="22"/>
              </w:rPr>
              <w:t xml:space="preserve">Q2/Q3 2026</w:t>
            </w:r>
          </w:p>
          <w:p>
            <w:pPr>
              <w:spacing w:before="40"/>
            </w:pPr>
            <w:r>
              <w:rPr>
                <w:rFonts w:ascii="Arial" w:cs="Arial" w:eastAsia="Arial" w:hAnsi="Arial"/>
                <w:i/>
                <w:iCs/>
                <w:color w:val="5A6A7A"/>
                <w:sz w:val="18"/>
                <w:szCs w:val="18"/>
              </w:rPr>
              <w:t xml:space="preserve">Prototype stage via hackathon  |  RAG pipeline established  |  Needs testing on actual program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Role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Per-program document intelligence agent. Program Expert is a retrieval-augmented agent provisioned with program-specific artifacts such as contracts, SOW, CDRLs, risk registers, vemo. It is the 'memory' of each individual program, callable by Guardian when a question requires program-specific document context.</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Objective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Integrate the Program Expert prototype into the Guardian sub-agent architecture. Deploy the first production Program Expert instance against a real program document set, and establish the provisioning pattern for scaling to additional programs.</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Current State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RAG/info retrieval framework established through the hackathon prototype. Vector store and document ingestion pipeline functional at prototype level. Needs more testing on an actual program document set, accuracy validation, and deployment into the ADK sub-agent architecture (to make more modular for other programs).</w:t>
            </w:r>
          </w:p>
        </w:tc>
      </w:tr>
    </w:tbl>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Business Value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Accelerated onboarding — 20%-30% faster program knowledge transfer, ~$400K per program</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Information accuracy — PMs and CAMs get cited, traceable answers from program documents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Knowledge continuity — program expertise is captured and accessible even as personnel turn over</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Scalable model — one Program Expert per program, all routable through a single Guardian instance</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Key Dependencies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Guardian Portal (CAP-03) should be live before Program Expert is deployed — the portal is the PM query interface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Sub-agent registry (CAP-02) must support per-program Program Expert instances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Requires at least one program to volunteer a document set for initial production testing</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Document ingestion pipeline must support PDF, DOCX, and XLSX at minimum</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Deliverables</w:t>
      </w:r>
    </w:p>
    <w:p>
      <w:pPr>
        <w:pStyle w:val="ListParagraph"/>
        <w:numPr>
          <w:ilvl w:val="0"/>
          <w:numId w:val="3"/>
        </w:numPr>
        <w:spacing w:after="100" w:before="0"/>
      </w:pPr>
      <w:r>
        <w:rPr>
          <w:rFonts w:ascii="Arial" w:cs="Arial" w:eastAsia="Arial" w:hAnsi="Arial"/>
          <w:color w:val="1A1A2E"/>
          <w:sz w:val="22"/>
          <w:szCs w:val="22"/>
        </w:rPr>
        <w:t xml:space="preserve">Program Expert deployed as ADK agent with vector store backend confirmed</w:t>
      </w:r>
    </w:p>
    <w:p>
      <w:pPr>
        <w:pStyle w:val="ListParagraph"/>
        <w:numPr>
          <w:ilvl w:val="0"/>
          <w:numId w:val="3"/>
        </w:numPr>
        <w:spacing w:after="100" w:before="0"/>
      </w:pPr>
      <w:r>
        <w:rPr>
          <w:rFonts w:ascii="Arial" w:cs="Arial" w:eastAsia="Arial" w:hAnsi="Arial"/>
          <w:color w:val="1A1A2E"/>
          <w:sz w:val="22"/>
          <w:szCs w:val="22"/>
        </w:rPr>
        <w:t xml:space="preserve">Document ingestion pipeline productionized</w:t>
      </w:r>
    </w:p>
    <w:p>
      <w:pPr>
        <w:pStyle w:val="ListParagraph"/>
        <w:numPr>
          <w:ilvl w:val="0"/>
          <w:numId w:val="3"/>
        </w:numPr>
        <w:spacing w:after="100" w:before="0"/>
      </w:pPr>
      <w:r>
        <w:rPr>
          <w:rFonts w:ascii="Arial" w:cs="Arial" w:eastAsia="Arial" w:hAnsi="Arial"/>
          <w:color w:val="1A1A2E"/>
          <w:sz w:val="22"/>
          <w:szCs w:val="22"/>
        </w:rPr>
        <w:t xml:space="preserve">First production Program Expert instance live against a real program document set</w:t>
      </w:r>
    </w:p>
    <w:p>
      <w:pPr>
        <w:pStyle w:val="ListParagraph"/>
        <w:numPr>
          <w:ilvl w:val="0"/>
          <w:numId w:val="3"/>
        </w:numPr>
        <w:spacing w:after="100" w:before="0"/>
      </w:pPr>
      <w:r>
        <w:rPr>
          <w:rFonts w:ascii="Arial" w:cs="Arial" w:eastAsia="Arial" w:hAnsi="Arial"/>
          <w:color w:val="1A1A2E"/>
          <w:sz w:val="22"/>
          <w:szCs w:val="22"/>
        </w:rPr>
        <w:t xml:space="preserve">Program provisioning spec documented: what is required to stand up a new instance</w:t>
      </w:r>
    </w:p>
    <w:p>
      <w:pPr>
        <w:pStyle w:val="ListParagraph"/>
        <w:numPr>
          <w:ilvl w:val="0"/>
          <w:numId w:val="3"/>
        </w:numPr>
        <w:spacing w:after="100" w:before="0"/>
      </w:pPr>
      <w:r>
        <w:rPr>
          <w:rFonts w:ascii="Arial" w:cs="Arial" w:eastAsia="Arial" w:hAnsi="Arial"/>
          <w:color w:val="1A1A2E"/>
          <w:sz w:val="22"/>
          <w:szCs w:val="22"/>
        </w:rPr>
        <w:t xml:space="preserve">Integrated into Guardian sub-agent registry: contract/document queries routed here automatically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6"/>
              <w:bottom w:val="none" w:color="FFFFFF" w:sz="0"/>
              <w:right w:val="none" w:color="FFFFFF" w:sz="0"/>
            </w:tcBorders>
            <w:shd w:fill="F2F4F7" w:val="clear"/>
            <w:tcMar>
              <w:top w:type="dxa" w:w="60"/>
              <w:left w:type="dxa" w:w="120"/>
              <w:bottom w:type="dxa" w:w="60"/>
              <w:right w:type="dxa" w:w="80"/>
            </w:tcMar>
          </w:tcPr>
          <w:p>
            <w:r>
              <w:rPr>
                <w:rFonts w:ascii="Arial" w:cs="Arial" w:eastAsia="Arial" w:hAnsi="Arial"/>
                <w:i/>
                <w:iCs/>
                <w:color w:val="5A6A7A"/>
                <w:sz w:val="18"/>
                <w:szCs w:val="18"/>
              </w:rPr>
              <w:t xml:space="preserve">→  Core Capabilities Required:  CAP-02  ·  CAP-04  (see Appendix 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F2E" w:sz="1"/>
              <w:left w:val="single" w:color="8A6F2E" w:sz="1"/>
              <w:bottom w:val="single" w:color="8A6F2E" w:sz="1"/>
              <w:right w:val="single" w:color="8A6F2E" w:sz="1"/>
            </w:tcBorders>
            <w:shd w:fill="FEFAE8" w:val="clear"/>
            <w:tcMar>
              <w:top w:type="dxa" w:w="80"/>
              <w:left w:type="dxa" w:w="120"/>
              <w:bottom w:type="dxa" w:w="80"/>
              <w:right w:type="dxa" w:w="120"/>
            </w:tcMar>
          </w:tcPr>
          <w:p>
            <w:r>
              <w:rPr>
                <w:rFonts w:ascii="Arial" w:cs="Arial" w:eastAsia="Arial" w:hAnsi="Arial"/>
                <w:b/>
                <w:bCs/>
                <w:color w:val="1A1A2E"/>
                <w:sz w:val="20"/>
                <w:szCs w:val="20"/>
                <w:u w:val="single"/>
              </w:rPr>
              <w:t xml:space="preserve">✓  Acceptance Criteria</w:t>
            </w:r>
          </w:p>
          <w:p>
            <w:pPr>
              <w:spacing w:before="60"/>
            </w:pPr>
            <w:r>
              <w:rPr>
                <w:rFonts w:ascii="Arial" w:cs="Arial" w:eastAsia="Arial" w:hAnsi="Arial"/>
                <w:color w:val="1A1A2E"/>
                <w:sz w:val="20"/>
                <w:szCs w:val="20"/>
              </w:rPr>
              <w:t xml:space="preserve">Program Expert ingests a real program document set, correctly answers 5 test queries with source citations, and is callable by Guardian via A2A. A new program can be onboarded by following the provisioning spec without core code changes.</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520" w:val="clear"/>
            <w:tcMar>
              <w:top w:type="dxa" w:w="100"/>
              <w:left w:type="dxa" w:w="200"/>
              <w:bottom w:type="dxa" w:w="100"/>
              <w:right w:type="dxa" w:w="200"/>
            </w:tcMar>
          </w:tcPr>
          <w:p>
            <w:r>
              <w:rPr>
                <w:rFonts w:ascii="Arial" w:cs="Arial" w:eastAsia="Arial" w:hAnsi="Arial"/>
                <w:b/>
                <w:bCs/>
                <w:color w:val="FFFFFF"/>
                <w:sz w:val="24"/>
                <w:szCs w:val="24"/>
              </w:rPr>
              <w:t xml:space="preserve">INCREMENTAL RELEASES — PARALLEL BRANCHES</w:t>
            </w:r>
          </w:p>
        </w:tc>
      </w:tr>
    </w:tbl>
    <w:p>
      <w:pPr>
        <w:spacing w:after="80" w:before="0"/>
      </w:pPr>
      <w:r>
        <w:t xml:space="preserve"/>
      </w:r>
    </w:p>
    <w:p>
      <w:pPr>
        <w:spacing w:after="120" w:before="0"/>
        <w:jc w:val="left"/>
      </w:pPr>
      <w:r>
        <w:rPr>
          <w:rFonts w:ascii="Arial" w:cs="Arial" w:eastAsia="Arial" w:hAnsi="Arial"/>
          <w:b w:val="false"/>
          <w:bCs w:val="false"/>
          <w:i/>
          <w:iCs/>
          <w:color w:val="5A6A7A"/>
          <w:sz w:val="22"/>
          <w:szCs w:val="22"/>
        </w:rPr>
        <w:t xml:space="preserve">Program Health  ·  PRISM  ·  Augmented IR  |  Template placeholders — detail to be completed with team leads.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vAlign w:val="center"/>
          </w:tcPr>
          <w:p>
            <w:pPr>
              <w:jc w:val="center"/>
            </w:pPr>
            <w:r>
              <w:rPr>
                <w:rFonts w:ascii="Arial" w:cs="Arial" w:eastAsia="Arial" w:hAnsi="Arial"/>
                <w:b/>
                <w:bCs/>
                <w:color w:val="0D1520"/>
                <w:sz w:val="16"/>
                <w:szCs w:val="16"/>
              </w:rPr>
              <w:t xml:space="preserve">TASK</w:t>
            </w:r>
          </w:p>
          <w:p>
            <w:pPr>
              <w:jc w:val="center"/>
            </w:pPr>
            <w:r>
              <w:rPr>
                <w:rFonts w:ascii="Arial" w:cs="Arial" w:eastAsia="Arial" w:hAnsi="Arial"/>
                <w:b/>
                <w:bCs/>
                <w:color w:val="0D1520"/>
                <w:sz w:val="22"/>
                <w:szCs w:val="22"/>
              </w:rPr>
              <w:t xml:space="preserve">4</w:t>
            </w:r>
          </w:p>
        </w:tc>
        <w:tc>
          <w:tcPr>
            <w:tcW w:type="dxa" w:w="84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FFFFFF"/>
                <w:sz w:val="26"/>
                <w:szCs w:val="26"/>
              </w:rPr>
              <w:t xml:space="preserve">Program Health Agent  </w:t>
            </w:r>
            <w:r>
              <w:rPr>
                <w:rFonts w:ascii="Arial" w:cs="Arial" w:eastAsia="Arial" w:hAnsi="Arial"/>
                <w:b/>
                <w:bCs/>
                <w:color w:val="C9A84C"/>
                <w:sz w:val="22"/>
                <w:szCs w:val="22"/>
              </w:rPr>
              <w:t xml:space="preserve">Q3 2026</w:t>
            </w:r>
          </w:p>
          <w:p>
            <w:pPr>
              <w:spacing w:before="40"/>
            </w:pPr>
            <w:r>
              <w:rPr>
                <w:rFonts w:ascii="Arial" w:cs="Arial" w:eastAsia="Arial" w:hAnsi="Arial"/>
                <w:i/>
                <w:iCs/>
                <w:color w:val="5A6A7A"/>
                <w:sz w:val="18"/>
                <w:szCs w:val="18"/>
              </w:rPr>
              <w:t xml:space="preserve">Prototype stage via hackathon  |  Needs refinement  |  Review with Brian and the team in more detail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Role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Multi-variable program financial health indication. Connects to financial systems of record (connected to key data like vemo and pmm) to provide budget, EAC, and EVMS performance insights across program domains.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Objective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[Placeholder — describe the specific delivery objective]</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Current State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Prototype stage via hackathon. Refinement needed.</w:t>
            </w:r>
          </w:p>
        </w:tc>
      </w:tr>
    </w:tbl>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Business Value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Multi-source program financial performance and risk</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SME thought-process emulation for EAC analysis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Preemptive mitigation of debook risk</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Estimated benefit: reduce debooks; goal to keep enterprise debooks &lt; 1.5% of sales</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Known Capabilities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Structured Data Connectors (MCP) to vemo, pmm, and financial systems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Agent Registry &amp; Discovery (A2A)</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Tool Registry</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Simulations, analytics, and predictive financial insights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Future sub-agent connectivity (IMS integration)</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Key Dependencies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[Dependency 1 — to be completed by team lead]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[Dependency 2 — to be completed by team lead]</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Deliverables</w:t>
      </w:r>
    </w:p>
    <w:p>
      <w:pPr>
        <w:pStyle w:val="ListParagraph"/>
        <w:numPr>
          <w:ilvl w:val="0"/>
          <w:numId w:val="3"/>
        </w:numPr>
        <w:spacing w:after="100" w:before="0"/>
      </w:pPr>
      <w:r>
        <w:rPr>
          <w:rFonts w:ascii="Arial" w:cs="Arial" w:eastAsia="Arial" w:hAnsi="Arial"/>
          <w:color w:val="1A1A2E"/>
          <w:sz w:val="22"/>
          <w:szCs w:val="22"/>
        </w:rPr>
        <w:t xml:space="preserve">[Deliverable 1 — to be completed by team lead]</w:t>
      </w:r>
    </w:p>
    <w:p>
      <w:pPr>
        <w:pStyle w:val="ListParagraph"/>
        <w:numPr>
          <w:ilvl w:val="0"/>
          <w:numId w:val="3"/>
        </w:numPr>
        <w:spacing w:after="100" w:before="0"/>
      </w:pPr>
      <w:r>
        <w:rPr>
          <w:rFonts w:ascii="Arial" w:cs="Arial" w:eastAsia="Arial" w:hAnsi="Arial"/>
          <w:color w:val="1A1A2E"/>
          <w:sz w:val="22"/>
          <w:szCs w:val="22"/>
        </w:rPr>
        <w:t xml:space="preserve">[Deliverable 2 — to be completed by team lead]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6"/>
              <w:bottom w:val="none" w:color="FFFFFF" w:sz="0"/>
              <w:right w:val="none" w:color="FFFFFF" w:sz="0"/>
            </w:tcBorders>
            <w:shd w:fill="F2F4F7" w:val="clear"/>
            <w:tcMar>
              <w:top w:type="dxa" w:w="60"/>
              <w:left w:type="dxa" w:w="120"/>
              <w:bottom w:type="dxa" w:w="60"/>
              <w:right w:type="dxa" w:w="80"/>
            </w:tcMar>
          </w:tcPr>
          <w:p>
            <w:r>
              <w:rPr>
                <w:rFonts w:ascii="Arial" w:cs="Arial" w:eastAsia="Arial" w:hAnsi="Arial"/>
                <w:i/>
                <w:iCs/>
                <w:color w:val="5A6A7A"/>
                <w:sz w:val="18"/>
                <w:szCs w:val="18"/>
              </w:rPr>
              <w:t xml:space="preserve">→  Core Capabilities Required:  CAP-07  (see Appendix 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F2E" w:sz="1"/>
              <w:left w:val="single" w:color="8A6F2E" w:sz="1"/>
              <w:bottom w:val="single" w:color="8A6F2E" w:sz="1"/>
              <w:right w:val="single" w:color="8A6F2E" w:sz="1"/>
            </w:tcBorders>
            <w:shd w:fill="FEFAE8" w:val="clear"/>
            <w:tcMar>
              <w:top w:type="dxa" w:w="80"/>
              <w:left w:type="dxa" w:w="120"/>
              <w:bottom w:type="dxa" w:w="80"/>
              <w:right w:type="dxa" w:w="120"/>
            </w:tcMar>
          </w:tcPr>
          <w:p>
            <w:r>
              <w:rPr>
                <w:rFonts w:ascii="Arial" w:cs="Arial" w:eastAsia="Arial" w:hAnsi="Arial"/>
                <w:b/>
                <w:bCs/>
                <w:color w:val="1A1A2E"/>
                <w:sz w:val="20"/>
                <w:szCs w:val="20"/>
                <w:u w:val="single"/>
              </w:rPr>
              <w:t xml:space="preserve">✓  Acceptance Criteria</w:t>
            </w:r>
          </w:p>
          <w:p>
            <w:pPr>
              <w:spacing w:before="60"/>
            </w:pPr>
            <w:r>
              <w:rPr>
                <w:rFonts w:ascii="Arial" w:cs="Arial" w:eastAsia="Arial" w:hAnsi="Arial"/>
                <w:color w:val="1A1A2E"/>
                <w:sz w:val="20"/>
                <w:szCs w:val="20"/>
              </w:rPr>
              <w:t xml:space="preserve">[Acceptance criteria — to be completed by team lead]</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vAlign w:val="center"/>
          </w:tcPr>
          <w:p>
            <w:pPr>
              <w:jc w:val="center"/>
            </w:pPr>
            <w:r>
              <w:rPr>
                <w:rFonts w:ascii="Arial" w:cs="Arial" w:eastAsia="Arial" w:hAnsi="Arial"/>
                <w:b/>
                <w:bCs/>
                <w:color w:val="0D1520"/>
                <w:sz w:val="16"/>
                <w:szCs w:val="16"/>
              </w:rPr>
              <w:t xml:space="preserve">TASK</w:t>
            </w:r>
          </w:p>
          <w:p>
            <w:pPr>
              <w:jc w:val="center"/>
            </w:pPr>
            <w:r>
              <w:rPr>
                <w:rFonts w:ascii="Arial" w:cs="Arial" w:eastAsia="Arial" w:hAnsi="Arial"/>
                <w:b/>
                <w:bCs/>
                <w:color w:val="0D1520"/>
                <w:sz w:val="22"/>
                <w:szCs w:val="22"/>
              </w:rPr>
              <w:t xml:space="preserve">5</w:t>
            </w:r>
          </w:p>
        </w:tc>
        <w:tc>
          <w:tcPr>
            <w:tcW w:type="dxa" w:w="84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FFFFFF"/>
                <w:sz w:val="26"/>
                <w:szCs w:val="26"/>
              </w:rPr>
              <w:t xml:space="preserve">PRISM — Systemic Issue Automation  </w:t>
            </w:r>
            <w:r>
              <w:rPr>
                <w:rFonts w:ascii="Arial" w:cs="Arial" w:eastAsia="Arial" w:hAnsi="Arial"/>
                <w:b/>
                <w:bCs/>
                <w:color w:val="C9A84C"/>
                <w:sz w:val="22"/>
                <w:szCs w:val="22"/>
              </w:rPr>
              <w:t xml:space="preserve">Q3/Q4 2026</w:t>
            </w:r>
          </w:p>
          <w:p>
            <w:pPr>
              <w:spacing w:before="40"/>
            </w:pPr>
            <w:r>
              <w:rPr>
                <w:rFonts w:ascii="Arial" w:cs="Arial" w:eastAsia="Arial" w:hAnsi="Arial"/>
                <w:i/>
                <w:iCs/>
                <w:color w:val="5A6A7A"/>
                <w:sz w:val="18"/>
                <w:szCs w:val="18"/>
              </w:rPr>
              <w:t xml:space="preserve">Prototype stage via hackathon  |  Needs refinement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Role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Identifies systemic risk patterns across programs, exposing vulnerabilities and enabling strategic risk prioritization. PRISM processes large volumes of risk and issue data to surface cross-program patterns that single-program monitoring would miss.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Objective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[Placeholder — describe the specific delivery objective]</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Current State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Prototype stage via hackathon. Refinement needed.</w:t>
            </w:r>
          </w:p>
        </w:tc>
      </w:tr>
    </w:tbl>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Business Value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Expose systemic risk patterns and strategic risk prioritization across RMS programs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Unlock valuable cross-program data for multi-purpose analysis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Estimated benefit: ~$1.0M–$3.0M of overall RMS NFRO avoidance within 12 months of deployment</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Known Capabilities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Structured Data Connectors (MCP) for risk and issue data sources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Tool Registry for cross-program risk pattern detection</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Systemic risk clustering and vulnerability exposure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Strategic risk prioritization engine</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Key Dependencies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[Dependency 1 — to be completed by team lead]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[Dependency 2 — to be completed by team lead]</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Deliverables</w:t>
      </w:r>
    </w:p>
    <w:p>
      <w:pPr>
        <w:pStyle w:val="ListParagraph"/>
        <w:numPr>
          <w:ilvl w:val="0"/>
          <w:numId w:val="3"/>
        </w:numPr>
        <w:spacing w:after="100" w:before="0"/>
      </w:pPr>
      <w:r>
        <w:rPr>
          <w:rFonts w:ascii="Arial" w:cs="Arial" w:eastAsia="Arial" w:hAnsi="Arial"/>
          <w:color w:val="1A1A2E"/>
          <w:sz w:val="22"/>
          <w:szCs w:val="22"/>
        </w:rPr>
        <w:t xml:space="preserve">[Deliverable 1 — to be completed by team lead]</w:t>
      </w:r>
    </w:p>
    <w:p>
      <w:pPr>
        <w:pStyle w:val="ListParagraph"/>
        <w:numPr>
          <w:ilvl w:val="0"/>
          <w:numId w:val="3"/>
        </w:numPr>
        <w:spacing w:after="100" w:before="0"/>
      </w:pPr>
      <w:r>
        <w:rPr>
          <w:rFonts w:ascii="Arial" w:cs="Arial" w:eastAsia="Arial" w:hAnsi="Arial"/>
          <w:color w:val="1A1A2E"/>
          <w:sz w:val="22"/>
          <w:szCs w:val="22"/>
        </w:rPr>
        <w:t xml:space="preserve">[Deliverable 2 — to be completed by team lead]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6"/>
              <w:bottom w:val="none" w:color="FFFFFF" w:sz="0"/>
              <w:right w:val="none" w:color="FFFFFF" w:sz="0"/>
            </w:tcBorders>
            <w:shd w:fill="F2F4F7" w:val="clear"/>
            <w:tcMar>
              <w:top w:type="dxa" w:w="60"/>
              <w:left w:type="dxa" w:w="120"/>
              <w:bottom w:type="dxa" w:w="60"/>
              <w:right w:type="dxa" w:w="80"/>
            </w:tcMar>
          </w:tcPr>
          <w:p>
            <w:r>
              <w:rPr>
                <w:rFonts w:ascii="Arial" w:cs="Arial" w:eastAsia="Arial" w:hAnsi="Arial"/>
                <w:i/>
                <w:iCs/>
                <w:color w:val="5A6A7A"/>
                <w:sz w:val="18"/>
                <w:szCs w:val="18"/>
              </w:rPr>
              <w:t xml:space="preserve">→  Core Capabilities Required:  CAP-08  (see Appendix 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F2E" w:sz="1"/>
              <w:left w:val="single" w:color="8A6F2E" w:sz="1"/>
              <w:bottom w:val="single" w:color="8A6F2E" w:sz="1"/>
              <w:right w:val="single" w:color="8A6F2E" w:sz="1"/>
            </w:tcBorders>
            <w:shd w:fill="FEFAE8" w:val="clear"/>
            <w:tcMar>
              <w:top w:type="dxa" w:w="80"/>
              <w:left w:type="dxa" w:w="120"/>
              <w:bottom w:type="dxa" w:w="80"/>
              <w:right w:type="dxa" w:w="120"/>
            </w:tcMar>
          </w:tcPr>
          <w:p>
            <w:r>
              <w:rPr>
                <w:rFonts w:ascii="Arial" w:cs="Arial" w:eastAsia="Arial" w:hAnsi="Arial"/>
                <w:b/>
                <w:bCs/>
                <w:color w:val="1A1A2E"/>
                <w:sz w:val="20"/>
                <w:szCs w:val="20"/>
                <w:u w:val="single"/>
              </w:rPr>
              <w:t xml:space="preserve">✓  Acceptance Criteria</w:t>
            </w:r>
          </w:p>
          <w:p>
            <w:pPr>
              <w:spacing w:before="60"/>
            </w:pPr>
            <w:r>
              <w:rPr>
                <w:rFonts w:ascii="Arial" w:cs="Arial" w:eastAsia="Arial" w:hAnsi="Arial"/>
                <w:color w:val="1A1A2E"/>
                <w:sz w:val="20"/>
                <w:szCs w:val="20"/>
              </w:rPr>
              <w:t xml:space="preserve">[Acceptance criteria — to be completed]</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vAlign w:val="center"/>
          </w:tcPr>
          <w:p>
            <w:pPr>
              <w:jc w:val="center"/>
            </w:pPr>
            <w:r>
              <w:rPr>
                <w:rFonts w:ascii="Arial" w:cs="Arial" w:eastAsia="Arial" w:hAnsi="Arial"/>
                <w:b/>
                <w:bCs/>
                <w:color w:val="0D1520"/>
                <w:sz w:val="16"/>
                <w:szCs w:val="16"/>
              </w:rPr>
              <w:t xml:space="preserve">TASK</w:t>
            </w:r>
          </w:p>
          <w:p>
            <w:pPr>
              <w:jc w:val="center"/>
            </w:pPr>
            <w:r>
              <w:rPr>
                <w:rFonts w:ascii="Arial" w:cs="Arial" w:eastAsia="Arial" w:hAnsi="Arial"/>
                <w:b/>
                <w:bCs/>
                <w:color w:val="0D1520"/>
                <w:sz w:val="22"/>
                <w:szCs w:val="22"/>
              </w:rPr>
              <w:t xml:space="preserve">6</w:t>
            </w:r>
          </w:p>
        </w:tc>
        <w:tc>
          <w:tcPr>
            <w:tcW w:type="dxa" w:w="8460"/>
            <w:tcBorders>
              <w:top w:val="none" w:color="FFFFFF" w:sz="0"/>
              <w:left w:val="none" w:color="FFFFFF" w:sz="0"/>
              <w:bottom w:val="none" w:color="FFFFFF" w:sz="0"/>
              <w:right w:val="none" w:color="FFFFFF" w:sz="0"/>
            </w:tcBorders>
            <w:shd w:fill="1B2A3B" w:val="clear"/>
            <w:tcMar>
              <w:top w:type="dxa" w:w="80"/>
              <w:left w:type="dxa" w:w="160"/>
              <w:bottom w:type="dxa" w:w="80"/>
              <w:right w:type="dxa" w:w="120"/>
            </w:tcMar>
          </w:tcPr>
          <w:p>
            <w:r>
              <w:rPr>
                <w:rFonts w:ascii="Arial" w:cs="Arial" w:eastAsia="Arial" w:hAnsi="Arial"/>
                <w:b/>
                <w:bCs/>
                <w:color w:val="FFFFFF"/>
                <w:sz w:val="26"/>
                <w:szCs w:val="26"/>
              </w:rPr>
              <w:t xml:space="preserve">Augmented Independent Review (IR)  </w:t>
            </w:r>
            <w:r>
              <w:rPr>
                <w:rFonts w:ascii="Arial" w:cs="Arial" w:eastAsia="Arial" w:hAnsi="Arial"/>
                <w:b/>
                <w:bCs/>
                <w:color w:val="C9A84C"/>
                <w:sz w:val="22"/>
                <w:szCs w:val="22"/>
              </w:rPr>
              <w:t xml:space="preserve">Q4 2026</w:t>
            </w:r>
          </w:p>
          <w:p>
            <w:pPr>
              <w:spacing w:before="40"/>
            </w:pPr>
            <w:r>
              <w:rPr>
                <w:rFonts w:ascii="Arial" w:cs="Arial" w:eastAsia="Arial" w:hAnsi="Arial"/>
                <w:i/>
                <w:iCs/>
                <w:color w:val="5A6A7A"/>
                <w:sz w:val="18"/>
                <w:szCs w:val="18"/>
              </w:rPr>
              <w:t xml:space="preserve">Prototype stage via hackathon  |  Needs SME refinement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Role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Streamlined pre-review process augmenting Panel Members. Automates review scheduling, panel member identification, and pre-review context preparation, reducing review cycle time and improving review quality.</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3B"/>
                <w:sz w:val="20"/>
                <w:szCs w:val="20"/>
              </w:rPr>
              <w:t xml:space="preserve">Objective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[Placeholder — describe the specific delivery objective]</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B2A3B"/>
                <w:sz w:val="20"/>
                <w:szCs w:val="20"/>
              </w:rPr>
              <w:t xml:space="preserve">Current State</w:t>
            </w:r>
          </w:p>
        </w:tc>
        <w:tc>
          <w:tcPr>
            <w:tcW w:type="dxa" w:w="7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Prototype stage via hackathon. Refinement needed.</w:t>
            </w:r>
          </w:p>
        </w:tc>
      </w:tr>
    </w:tbl>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Business Value</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Accelerated panel formation and proactive scheduling</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Richer context for panel members — AI-synthesized program background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Improved review quality through pre-review intelligence preparation</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Estimated benefit: ~$500K/year, ~2,000 hours/year saved across ~100 reviews</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Known Capabilities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File Retrieval System for review-relevant program documents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Agent-Level Orchestration (sub-agent chaining) for multi-step review preparation</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Pre-review context synthesis and briefing generation to prepare panel members for reviews — set them up for success</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Key Dependencies</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[Dependency 1 — to be completed by team lead]</w:t>
      </w:r>
    </w:p>
    <w:p>
      <w:pPr>
        <w:pStyle w:val="ListParagraph"/>
        <w:numPr>
          <w:ilvl w:val="0"/>
          <w:numId w:val="2"/>
        </w:numPr>
        <w:spacing w:after="100" w:before="0"/>
        <w:jc w:val="left"/>
      </w:pPr>
      <w:r>
        <w:rPr>
          <w:rFonts w:ascii="Arial" w:cs="Arial" w:eastAsia="Arial" w:hAnsi="Arial"/>
          <w:b w:val="false"/>
          <w:bCs w:val="false"/>
          <w:i w:val="false"/>
          <w:iCs w:val="false"/>
          <w:color w:val="1A1A2E"/>
          <w:sz w:val="22"/>
          <w:szCs w:val="22"/>
        </w:rPr>
        <w:t xml:space="preserve">[Dependency 2 — to be completed by team lead]</w:t>
      </w:r>
    </w:p>
    <w:p>
      <w:pPr>
        <w:spacing w:after="120" w:before="0"/>
      </w:pPr>
      <w:r>
        <w:t xml:space="preserve"/>
      </w:r>
    </w:p>
    <w:p>
      <w:pPr>
        <w:spacing w:after="120" w:before="0"/>
        <w:jc w:val="left"/>
      </w:pPr>
      <w:r>
        <w:rPr>
          <w:rFonts w:ascii="Arial" w:cs="Arial" w:eastAsia="Arial" w:hAnsi="Arial"/>
          <w:b/>
          <w:bCs/>
          <w:i w:val="false"/>
          <w:iCs w:val="false"/>
          <w:color w:val="1B2A3B"/>
          <w:sz w:val="22"/>
          <w:szCs w:val="22"/>
        </w:rPr>
        <w:t xml:space="preserve">Deliverables</w:t>
      </w:r>
    </w:p>
    <w:p>
      <w:pPr>
        <w:pStyle w:val="ListParagraph"/>
        <w:numPr>
          <w:ilvl w:val="0"/>
          <w:numId w:val="3"/>
        </w:numPr>
        <w:spacing w:after="100" w:before="0"/>
      </w:pPr>
      <w:r>
        <w:rPr>
          <w:rFonts w:ascii="Arial" w:cs="Arial" w:eastAsia="Arial" w:hAnsi="Arial"/>
          <w:color w:val="1A1A2E"/>
          <w:sz w:val="22"/>
          <w:szCs w:val="22"/>
        </w:rPr>
        <w:t xml:space="preserve">[Deliverable 1 — to be completed by team lead]</w:t>
      </w:r>
    </w:p>
    <w:p>
      <w:pPr>
        <w:pStyle w:val="ListParagraph"/>
        <w:numPr>
          <w:ilvl w:val="0"/>
          <w:numId w:val="3"/>
        </w:numPr>
        <w:spacing w:after="100" w:before="0"/>
      </w:pPr>
      <w:r>
        <w:rPr>
          <w:rFonts w:ascii="Arial" w:cs="Arial" w:eastAsia="Arial" w:hAnsi="Arial"/>
          <w:color w:val="1A1A2E"/>
          <w:sz w:val="22"/>
          <w:szCs w:val="22"/>
        </w:rPr>
        <w:t xml:space="preserve">[Deliverable 2 — to be completed by team lead]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6"/>
              <w:bottom w:val="none" w:color="FFFFFF" w:sz="0"/>
              <w:right w:val="none" w:color="FFFFFF" w:sz="0"/>
            </w:tcBorders>
            <w:shd w:fill="F2F4F7" w:val="clear"/>
            <w:tcMar>
              <w:top w:type="dxa" w:w="60"/>
              <w:left w:type="dxa" w:w="120"/>
              <w:bottom w:type="dxa" w:w="60"/>
              <w:right w:type="dxa" w:w="80"/>
            </w:tcMar>
          </w:tcPr>
          <w:p>
            <w:r>
              <w:rPr>
                <w:rFonts w:ascii="Arial" w:cs="Arial" w:eastAsia="Arial" w:hAnsi="Arial"/>
                <w:i/>
                <w:iCs/>
                <w:color w:val="5A6A7A"/>
                <w:sz w:val="18"/>
                <w:szCs w:val="18"/>
              </w:rPr>
              <w:t xml:space="preserve">→  Core Capabilities Required:  CAP-09  (see Appendix 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F2E" w:sz="1"/>
              <w:left w:val="single" w:color="8A6F2E" w:sz="1"/>
              <w:bottom w:val="single" w:color="8A6F2E" w:sz="1"/>
              <w:right w:val="single" w:color="8A6F2E" w:sz="1"/>
            </w:tcBorders>
            <w:shd w:fill="FEFAE8" w:val="clear"/>
            <w:tcMar>
              <w:top w:type="dxa" w:w="80"/>
              <w:left w:type="dxa" w:w="120"/>
              <w:bottom w:type="dxa" w:w="80"/>
              <w:right w:type="dxa" w:w="120"/>
            </w:tcMar>
          </w:tcPr>
          <w:p>
            <w:r>
              <w:rPr>
                <w:rFonts w:ascii="Arial" w:cs="Arial" w:eastAsia="Arial" w:hAnsi="Arial"/>
                <w:b/>
                <w:bCs/>
                <w:color w:val="1A1A2E"/>
                <w:sz w:val="20"/>
                <w:szCs w:val="20"/>
                <w:u w:val="single"/>
              </w:rPr>
              <w:t xml:space="preserve">✓  Acceptance Criteria</w:t>
            </w:r>
          </w:p>
          <w:p>
            <w:pPr>
              <w:spacing w:before="60"/>
            </w:pPr>
            <w:r>
              <w:rPr>
                <w:rFonts w:ascii="Arial" w:cs="Arial" w:eastAsia="Arial" w:hAnsi="Arial"/>
                <w:color w:val="1A1A2E"/>
                <w:sz w:val="20"/>
                <w:szCs w:val="20"/>
              </w:rPr>
              <w:t xml:space="preserve">[Acceptance criteria — to be completed by team lead]</w:t>
            </w:r>
          </w:p>
        </w:tc>
      </w:tr>
    </w:tbl>
    <w:p>
      <w:pPr>
        <w:spacing w:after="3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520" w:val="clear"/>
            <w:tcMar>
              <w:top w:type="dxa" w:w="120"/>
              <w:left w:type="dxa" w:w="200"/>
              <w:bottom w:type="dxa" w:w="120"/>
              <w:right w:type="dxa" w:w="200"/>
            </w:tcMar>
          </w:tcPr>
          <w:p>
            <w:r>
              <w:rPr>
                <w:rFonts w:ascii="Arial" w:cs="Arial" w:eastAsia="Arial" w:hAnsi="Arial"/>
                <w:b/>
                <w:bCs/>
                <w:color w:val="C9A84C"/>
                <w:sz w:val="32"/>
                <w:szCs w:val="32"/>
              </w:rPr>
              <w:t xml:space="preserve">APPENDIX A</w:t>
            </w:r>
          </w:p>
          <w:p>
            <w:pPr>
              <w:spacing w:before="60"/>
            </w:pPr>
            <w:r>
              <w:rPr>
                <w:rFonts w:ascii="Arial" w:cs="Arial" w:eastAsia="Arial" w:hAnsi="Arial"/>
                <w:b/>
                <w:bCs/>
                <w:color w:val="FFFFFF"/>
                <w:sz w:val="22"/>
                <w:szCs w:val="22"/>
              </w:rPr>
              <w:t xml:space="preserve">Core Capability Specifications</w:t>
            </w:r>
          </w:p>
          <w:p>
            <w:pPr>
              <w:spacing w:before="40"/>
            </w:pPr>
            <w:r>
              <w:rPr>
                <w:rFonts w:ascii="Arial" w:cs="Arial" w:eastAsia="Arial" w:hAnsi="Arial"/>
                <w:color w:val="5A6A7A"/>
                <w:sz w:val="18"/>
                <w:szCs w:val="18"/>
              </w:rPr>
              <w:t xml:space="preserve">Detailed engineering work and acceptance criteria for each core capability. Referenced from task sections in the main body above.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200"/>
        <w:gridCol w:w="4660"/>
        <w:gridCol w:w="1900"/>
      </w:tblGrid>
      <w:tr>
        <w:trPr>
          <w:tblHeader/>
        </w:trPr>
        <w:tc>
          <w:tcPr>
            <w:tcW w:type="dxa" w:w="900"/>
            <w:tcBorders>
              <w:top w:val="single" w:color="CCCCCC" w:sz="1"/>
              <w:left w:val="single" w:color="CCCCCC" w:sz="1"/>
              <w:bottom w:val="single" w:color="CCCCCC" w:sz="1"/>
              <w:right w:val="single" w:color="CCCCCC"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700"/>
            <w:tcBorders>
              <w:top w:val="single" w:color="CCCCCC" w:sz="1"/>
              <w:left w:val="single" w:color="CCCCCC" w:sz="1"/>
              <w:bottom w:val="single" w:color="CCCCCC" w:sz="1"/>
              <w:right w:val="single" w:color="CCCCCC"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Timeframe</w:t>
            </w:r>
          </w:p>
        </w:tc>
        <w:tc>
          <w:tcPr>
            <w:tcW w:type="dxa" w:w="4660"/>
            <w:tcBorders>
              <w:top w:val="single" w:color="CCCCCC" w:sz="1"/>
              <w:left w:val="single" w:color="CCCCCC" w:sz="1"/>
              <w:bottom w:val="single" w:color="CCCCCC" w:sz="1"/>
              <w:right w:val="single" w:color="CCCCCC"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tcW w:type="dxa" w:w="1900"/>
            <w:tcBorders>
              <w:top w:val="single" w:color="CCCCCC" w:sz="1"/>
              <w:left w:val="single" w:color="CCCCCC" w:sz="1"/>
              <w:bottom w:val="single" w:color="CCCCCC" w:sz="1"/>
              <w:right w:val="single" w:color="CCCCCC"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Used By</w:t>
            </w:r>
          </w:p>
        </w:tc>
      </w:tr>
      <w:tr>
        <w:tc>
          <w:tcPr>
            <w:tcW w:type="dxa" w:w="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2E"/>
                <w:sz w:val="18"/>
                <w:szCs w:val="18"/>
              </w:rPr>
              <w:t xml:space="preserve">CAP-01</w:t>
            </w:r>
          </w:p>
        </w:tc>
        <w:tc>
          <w:tcPr>
            <w:tcW w:type="dxa" w:w="7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5FA0"/>
                <w:sz w:val="18"/>
                <w:szCs w:val="18"/>
              </w:rPr>
              <w:t xml:space="preserve">P1</w:t>
            </w:r>
          </w:p>
        </w:tc>
        <w:tc>
          <w:tcPr>
            <w:tcW w:type="dxa" w:w="1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Q2 2026</w:t>
            </w:r>
          </w:p>
        </w:tc>
        <w:tc>
          <w:tcPr>
            <w:tcW w:type="dxa" w:w="46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ADK Orchestrator Agent</w:t>
            </w:r>
          </w:p>
        </w:tc>
        <w:tc>
          <w:tcPr>
            <w:tcW w:type="dxa" w:w="1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TASK 1, TASK 2</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8"/>
                <w:szCs w:val="18"/>
              </w:rPr>
              <w:t xml:space="preserve">CAP-02</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5FA0"/>
                <w:sz w:val="18"/>
                <w:szCs w:val="18"/>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Q2 2026</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Agent-to-Agent (A2A) and Model-Context Protocol (MCP) Implementation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TASK 1 - 6</w:t>
            </w:r>
          </w:p>
        </w:tc>
      </w:tr>
      <w:tr>
        <w:tc>
          <w:tcPr>
            <w:tcW w:type="dxa" w:w="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2E"/>
                <w:sz w:val="18"/>
                <w:szCs w:val="18"/>
              </w:rPr>
              <w:t xml:space="preserve">CAP-03</w:t>
            </w:r>
          </w:p>
        </w:tc>
        <w:tc>
          <w:tcPr>
            <w:tcW w:type="dxa" w:w="7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5FA0"/>
                <w:sz w:val="18"/>
                <w:szCs w:val="18"/>
              </w:rPr>
              <w:t xml:space="preserve">P1</w:t>
            </w:r>
          </w:p>
        </w:tc>
        <w:tc>
          <w:tcPr>
            <w:tcW w:type="dxa" w:w="1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Q2 2026</w:t>
            </w:r>
          </w:p>
        </w:tc>
        <w:tc>
          <w:tcPr>
            <w:tcW w:type="dxa" w:w="46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Guardian Portal (UI + PM Interface)</w:t>
            </w:r>
          </w:p>
        </w:tc>
        <w:tc>
          <w:tcPr>
            <w:tcW w:type="dxa" w:w="1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TASK 2</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8"/>
                <w:szCs w:val="18"/>
              </w:rPr>
              <w:t xml:space="preserve">CAP-04</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B6B6B"/>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Q2/Q3 2026</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Information Retrieval (RAG) — Program Expert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TASK 3, TASK 6</w:t>
            </w:r>
          </w:p>
        </w:tc>
      </w:tr>
      <w:tr>
        <w:tc>
          <w:tcPr>
            <w:tcW w:type="dxa" w:w="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2E"/>
                <w:sz w:val="18"/>
                <w:szCs w:val="18"/>
              </w:rPr>
              <w:t xml:space="preserve">CAP-05</w:t>
            </w:r>
          </w:p>
        </w:tc>
        <w:tc>
          <w:tcPr>
            <w:tcW w:type="dxa" w:w="7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B6B6B"/>
                <w:sz w:val="18"/>
                <w:szCs w:val="18"/>
              </w:rPr>
              <w:t xml:space="preserve">P2</w:t>
            </w:r>
          </w:p>
        </w:tc>
        <w:tc>
          <w:tcPr>
            <w:tcW w:type="dxa" w:w="1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Q3 2026</w:t>
            </w:r>
          </w:p>
        </w:tc>
        <w:tc>
          <w:tcPr>
            <w:tcW w:type="dxa" w:w="46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Pre-Authorized Autonomous Action Framework</w:t>
            </w:r>
          </w:p>
        </w:tc>
        <w:tc>
          <w:tcPr>
            <w:tcW w:type="dxa" w:w="1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TASK 2</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8"/>
                <w:szCs w:val="18"/>
              </w:rPr>
              <w:t xml:space="preserve">CAP-06</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7A3A00"/>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Q4 2026</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PM Approval Workflow (Human-in-the-Loop)</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TASK 2</w:t>
            </w:r>
          </w:p>
        </w:tc>
      </w:tr>
      <w:tr>
        <w:tc>
          <w:tcPr>
            <w:tcW w:type="dxa" w:w="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2E"/>
                <w:sz w:val="18"/>
                <w:szCs w:val="18"/>
              </w:rPr>
              <w:t xml:space="preserve">CAP-07</w:t>
            </w:r>
          </w:p>
        </w:tc>
        <w:tc>
          <w:tcPr>
            <w:tcW w:type="dxa" w:w="7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7A3A00"/>
                <w:sz w:val="18"/>
                <w:szCs w:val="18"/>
              </w:rPr>
              <w:t xml:space="preserve">P3</w:t>
            </w:r>
          </w:p>
        </w:tc>
        <w:tc>
          <w:tcPr>
            <w:tcW w:type="dxa" w:w="1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Q4 2026</w:t>
            </w:r>
          </w:p>
        </w:tc>
        <w:tc>
          <w:tcPr>
            <w:tcW w:type="dxa" w:w="46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Customizable Skills Incorporation</w:t>
            </w:r>
          </w:p>
        </w:tc>
        <w:tc>
          <w:tcPr>
            <w:tcW w:type="dxa" w:w="19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2E"/>
                <w:sz w:val="18"/>
                <w:szCs w:val="18"/>
              </w:rPr>
              <w:t xml:space="preserve">TASK 3, TASK 6</w:t>
            </w:r>
          </w:p>
        </w:tc>
      </w:tr>
    </w:tbl>
    <w:p>
      <w:pPr>
        <w:spacing w:after="320" w:before="0"/>
      </w:pPr>
      <w:r>
        <w:t xml:space="preserve"/>
      </w:r>
    </w:p>
    <w:p>
      <w:pPr>
        <w:spacing w:after="120" w:before="0"/>
        <w:jc w:val="left"/>
      </w:pPr>
      <w:r>
        <w:rPr>
          <w:rFonts w:ascii="Arial" w:cs="Arial" w:eastAsia="Arial" w:hAnsi="Arial"/>
          <w:b w:val="false"/>
          <w:bCs w:val="false"/>
          <w:i/>
          <w:iCs/>
          <w:color w:val="5A6A7A"/>
          <w:sz w:val="22"/>
          <w:szCs w:val="22"/>
        </w:rPr>
        <w:t xml:space="preserve">Note: CAP-05 and CAP-06 flagged by reviewer for additional scoping work before Q3 implementation. CAP-08 and CAP-09 (required for Tasks 5 and 6) to be defined by respective team leads.</w:t>
      </w:r>
    </w:p>
    <w:p>
      <w:pPr>
        <w:spacing w:after="32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2026-04-07T19:47:37.735Z</dcterms:created>
  <dcterms:modified xsi:type="dcterms:W3CDTF">2026-04-07T19:47:37.736Z</dcterms:modified>
</cp:coreProperties>
</file>

<file path=docProps/custom.xml><?xml version="1.0" encoding="utf-8"?>
<Properties xmlns="http://schemas.openxmlformats.org/officeDocument/2006/custom-properties" xmlns:vt="http://schemas.openxmlformats.org/officeDocument/2006/docPropsVTypes"/>
</file>